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AF7" w:rsidRPr="00A46DF2" w:rsidRDefault="00E73AF7" w:rsidP="00E73AF7">
      <w:pPr>
        <w:shd w:val="clear" w:color="auto" w:fill="FFFFFF"/>
        <w:ind w:left="5103"/>
        <w:contextualSpacing/>
        <w:jc w:val="both"/>
      </w:pPr>
      <w:r w:rsidRPr="00A46DF2">
        <w:t xml:space="preserve">Приложение </w:t>
      </w:r>
      <w:r w:rsidR="00D46C69">
        <w:t>6</w:t>
      </w:r>
    </w:p>
    <w:p w:rsidR="00E73AF7" w:rsidRPr="00A46DF2" w:rsidRDefault="00E73AF7" w:rsidP="00E73AF7">
      <w:pPr>
        <w:shd w:val="clear" w:color="auto" w:fill="FFFFFF"/>
        <w:ind w:left="5103"/>
        <w:contextualSpacing/>
        <w:jc w:val="both"/>
      </w:pPr>
      <w:r w:rsidRPr="00A46DF2">
        <w:t xml:space="preserve">к Типовым правилам внутреннего контроля, осуществляемого нотариусами Донецкой Народной Республики в целях противодействия легализации (отмыванию) доходов, полученных преступным путем, и финансированию терроризма </w:t>
      </w:r>
      <w:r w:rsidRPr="00DF2E5E">
        <w:t>(пункт </w:t>
      </w:r>
      <w:r w:rsidR="00EC4764">
        <w:t>5.5</w:t>
      </w:r>
      <w:r w:rsidRPr="00DF2E5E">
        <w:t>)</w:t>
      </w:r>
    </w:p>
    <w:p w:rsidR="00E73AF7" w:rsidRPr="00E73AF7" w:rsidRDefault="00E73AF7" w:rsidP="00E73AF7">
      <w:pPr>
        <w:pStyle w:val="a5"/>
        <w:spacing w:before="2"/>
        <w:rPr>
          <w:sz w:val="24"/>
          <w:szCs w:val="24"/>
        </w:rPr>
      </w:pPr>
    </w:p>
    <w:p w:rsidR="00E73AF7" w:rsidRPr="00E73AF7" w:rsidRDefault="00E73AF7" w:rsidP="00E73AF7">
      <w:pPr>
        <w:pStyle w:val="a5"/>
        <w:spacing w:before="2"/>
        <w:rPr>
          <w:sz w:val="24"/>
          <w:szCs w:val="24"/>
        </w:rPr>
      </w:pPr>
    </w:p>
    <w:p w:rsidR="00E73AF7" w:rsidRPr="00E73AF7" w:rsidRDefault="00E73AF7" w:rsidP="00E73AF7">
      <w:pPr>
        <w:widowControl w:val="0"/>
        <w:tabs>
          <w:tab w:val="left" w:pos="3685"/>
        </w:tabs>
        <w:spacing w:before="65"/>
        <w:jc w:val="center"/>
        <w:rPr>
          <w:b/>
        </w:rPr>
      </w:pPr>
      <w:r w:rsidRPr="00E73AF7">
        <w:rPr>
          <w:b/>
        </w:rPr>
        <w:t>Основные признаки необычных</w:t>
      </w:r>
      <w:r>
        <w:rPr>
          <w:b/>
        </w:rPr>
        <w:t xml:space="preserve"> </w:t>
      </w:r>
      <w:r w:rsidRPr="00E73AF7">
        <w:rPr>
          <w:b/>
        </w:rPr>
        <w:t>сделок</w:t>
      </w:r>
    </w:p>
    <w:p w:rsidR="00E73AF7" w:rsidRPr="00E73AF7" w:rsidRDefault="00E73AF7" w:rsidP="00E73AF7">
      <w:pPr>
        <w:pStyle w:val="a5"/>
        <w:spacing w:before="7"/>
        <w:rPr>
          <w:b w:val="0"/>
          <w:sz w:val="24"/>
          <w:szCs w:val="24"/>
        </w:rPr>
      </w:pPr>
    </w:p>
    <w:tbl>
      <w:tblPr>
        <w:tblW w:w="9801" w:type="dxa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9093"/>
      </w:tblGrid>
      <w:tr w:rsidR="00E73AF7" w:rsidRPr="00E73AF7" w:rsidTr="007F08B6">
        <w:trPr>
          <w:trHeight w:hRule="exact" w:val="660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№ п/п</w:t>
            </w:r>
          </w:p>
        </w:tc>
        <w:tc>
          <w:tcPr>
            <w:tcW w:w="9093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ind w:left="3771" w:right="3772"/>
              <w:jc w:val="center"/>
              <w:rPr>
                <w:sz w:val="24"/>
                <w:szCs w:val="24"/>
              </w:rPr>
            </w:pPr>
            <w:proofErr w:type="spellStart"/>
            <w:r w:rsidRPr="00EC4764">
              <w:rPr>
                <w:sz w:val="24"/>
                <w:szCs w:val="24"/>
              </w:rPr>
              <w:t>Содержание</w:t>
            </w:r>
            <w:proofErr w:type="spellEnd"/>
          </w:p>
        </w:tc>
      </w:tr>
      <w:tr w:rsidR="00E73AF7" w:rsidRPr="00E73AF7" w:rsidTr="007F08B6">
        <w:trPr>
          <w:trHeight w:hRule="exact" w:val="1625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1</w:t>
            </w:r>
          </w:p>
        </w:tc>
        <w:tc>
          <w:tcPr>
            <w:tcW w:w="9093" w:type="dxa"/>
          </w:tcPr>
          <w:p w:rsidR="00E73AF7" w:rsidRPr="00EC4764" w:rsidRDefault="00E73AF7" w:rsidP="00EC4764">
            <w:pPr>
              <w:pStyle w:val="TableParagraph"/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 xml:space="preserve">Предложение клиента существенно (более чем в два раза) увеличить размер страховой суммы, с соответствующим увеличением размера страховой премии, по действующему договору страхования жизни или иному виду накопительного страхования, </w:t>
            </w:r>
            <w:proofErr w:type="gramStart"/>
            <w:r w:rsidRPr="00EC4764">
              <w:rPr>
                <w:sz w:val="24"/>
                <w:szCs w:val="24"/>
                <w:lang w:val="ru-RU"/>
              </w:rPr>
              <w:t>заключенному  юридическим</w:t>
            </w:r>
            <w:proofErr w:type="gramEnd"/>
            <w:r w:rsidRPr="00EC4764">
              <w:rPr>
                <w:sz w:val="24"/>
                <w:szCs w:val="24"/>
                <w:lang w:val="ru-RU"/>
              </w:rPr>
              <w:t xml:space="preserve"> или физическим лицом</w:t>
            </w:r>
          </w:p>
        </w:tc>
      </w:tr>
      <w:tr w:rsidR="00E73AF7" w:rsidRPr="00E73AF7" w:rsidTr="007F08B6">
        <w:trPr>
          <w:trHeight w:hRule="exact" w:val="660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2</w:t>
            </w:r>
          </w:p>
        </w:tc>
        <w:tc>
          <w:tcPr>
            <w:tcW w:w="9093" w:type="dxa"/>
          </w:tcPr>
          <w:p w:rsidR="00E73AF7" w:rsidRPr="00EC4764" w:rsidRDefault="00E73AF7" w:rsidP="00EC4764">
            <w:pPr>
              <w:pStyle w:val="TableParagraph"/>
              <w:ind w:right="63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Многократное внесение изменений в договор страхования в связи с заменой страхователя, застрахованного, выгодоприобретателя</w:t>
            </w:r>
          </w:p>
        </w:tc>
      </w:tr>
      <w:tr w:rsidR="00E73AF7" w:rsidRPr="00E73AF7" w:rsidTr="007F08B6">
        <w:trPr>
          <w:trHeight w:hRule="exact" w:val="658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3</w:t>
            </w:r>
          </w:p>
        </w:tc>
        <w:tc>
          <w:tcPr>
            <w:tcW w:w="9093" w:type="dxa"/>
          </w:tcPr>
          <w:p w:rsidR="00E73AF7" w:rsidRPr="00EC4764" w:rsidRDefault="00E73AF7" w:rsidP="007F08B6">
            <w:pPr>
              <w:pStyle w:val="TableParagraph"/>
              <w:tabs>
                <w:tab w:val="left" w:pos="2225"/>
                <w:tab w:val="left" w:pos="3957"/>
                <w:tab w:val="left" w:pos="5420"/>
                <w:tab w:val="left" w:pos="6297"/>
                <w:tab w:val="left" w:pos="6772"/>
                <w:tab w:val="left" w:pos="7767"/>
              </w:tabs>
              <w:ind w:right="66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Периодическое</w:t>
            </w:r>
            <w:r w:rsidRPr="00EC4764">
              <w:rPr>
                <w:sz w:val="24"/>
                <w:szCs w:val="24"/>
                <w:lang w:val="ru-RU"/>
              </w:rPr>
              <w:tab/>
              <w:t>заключение</w:t>
            </w:r>
            <w:r w:rsidRPr="00EC4764">
              <w:rPr>
                <w:sz w:val="24"/>
                <w:szCs w:val="24"/>
                <w:lang w:val="ru-RU"/>
              </w:rPr>
              <w:tab/>
              <w:t>клиентом</w:t>
            </w:r>
            <w:r w:rsidRPr="00EC4764">
              <w:rPr>
                <w:sz w:val="24"/>
                <w:szCs w:val="24"/>
                <w:lang w:val="ru-RU"/>
              </w:rPr>
              <w:tab/>
              <w:t>двух</w:t>
            </w:r>
            <w:r w:rsidRPr="00EC4764">
              <w:rPr>
                <w:sz w:val="24"/>
                <w:szCs w:val="24"/>
                <w:lang w:val="ru-RU"/>
              </w:rPr>
              <w:tab/>
              <w:t>и</w:t>
            </w:r>
            <w:r w:rsidRPr="00EC4764">
              <w:rPr>
                <w:sz w:val="24"/>
                <w:szCs w:val="24"/>
                <w:lang w:val="ru-RU"/>
              </w:rPr>
              <w:tab/>
              <w:t>более</w:t>
            </w:r>
            <w:r w:rsidR="007F08B6">
              <w:rPr>
                <w:sz w:val="24"/>
                <w:szCs w:val="24"/>
                <w:lang w:val="ru-RU"/>
              </w:rPr>
              <w:t xml:space="preserve"> </w:t>
            </w:r>
            <w:r w:rsidRPr="00EC4764">
              <w:rPr>
                <w:spacing w:val="-1"/>
                <w:sz w:val="24"/>
                <w:szCs w:val="24"/>
                <w:lang w:val="ru-RU"/>
              </w:rPr>
              <w:t xml:space="preserve">договоров </w:t>
            </w:r>
            <w:r w:rsidRPr="00EC4764">
              <w:rPr>
                <w:sz w:val="24"/>
                <w:szCs w:val="24"/>
                <w:lang w:val="ru-RU"/>
              </w:rPr>
              <w:t>страхования жизни в пользу третьего лица сроком до пяти</w:t>
            </w:r>
            <w:r w:rsidR="00EC4764" w:rsidRPr="00EC4764">
              <w:rPr>
                <w:sz w:val="24"/>
                <w:szCs w:val="24"/>
                <w:lang w:val="ru-RU"/>
              </w:rPr>
              <w:t xml:space="preserve"> </w:t>
            </w:r>
            <w:r w:rsidRPr="00EC4764">
              <w:rPr>
                <w:sz w:val="24"/>
                <w:szCs w:val="24"/>
                <w:lang w:val="ru-RU"/>
              </w:rPr>
              <w:t>лет</w:t>
            </w:r>
          </w:p>
        </w:tc>
      </w:tr>
      <w:tr w:rsidR="00E73AF7" w:rsidRPr="00E73AF7" w:rsidTr="007F08B6">
        <w:trPr>
          <w:trHeight w:hRule="exact" w:val="1625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4*</w:t>
            </w:r>
          </w:p>
        </w:tc>
        <w:tc>
          <w:tcPr>
            <w:tcW w:w="9093" w:type="dxa"/>
          </w:tcPr>
          <w:p w:rsidR="00E73AF7" w:rsidRPr="00EC4764" w:rsidRDefault="00E73AF7" w:rsidP="00EC4764">
            <w:pPr>
              <w:pStyle w:val="TableParagraph"/>
              <w:ind w:right="62"/>
              <w:jc w:val="both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Предложение страхователя перестраховать риск в организации, зарегистрированной в государстве или на территории офшорной зоны, либо в страховых и/или перестраховочных организациях, не имеющих рейтингов международных рейтинговых агентств, а также совершение операций в рамках договора с такими организациями</w:t>
            </w:r>
          </w:p>
        </w:tc>
      </w:tr>
      <w:tr w:rsidR="00E73AF7" w:rsidRPr="00E73AF7" w:rsidTr="007F08B6">
        <w:trPr>
          <w:trHeight w:hRule="exact" w:val="660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5</w:t>
            </w:r>
          </w:p>
        </w:tc>
        <w:tc>
          <w:tcPr>
            <w:tcW w:w="9093" w:type="dxa"/>
          </w:tcPr>
          <w:p w:rsidR="00E73AF7" w:rsidRPr="00EC4764" w:rsidRDefault="00E73AF7" w:rsidP="00EC4764">
            <w:pPr>
              <w:pStyle w:val="TableParagraph"/>
              <w:tabs>
                <w:tab w:val="left" w:pos="1304"/>
                <w:tab w:val="left" w:pos="2902"/>
                <w:tab w:val="left" w:pos="4408"/>
                <w:tab w:val="left" w:pos="6250"/>
                <w:tab w:val="left" w:pos="7109"/>
              </w:tabs>
              <w:ind w:right="68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Клиент</w:t>
            </w:r>
            <w:r w:rsidRPr="00EC4764">
              <w:rPr>
                <w:sz w:val="24"/>
                <w:szCs w:val="24"/>
                <w:lang w:val="ru-RU"/>
              </w:rPr>
              <w:tab/>
              <w:t>заключает</w:t>
            </w:r>
            <w:r w:rsidRPr="00EC4764">
              <w:rPr>
                <w:sz w:val="24"/>
                <w:szCs w:val="24"/>
                <w:lang w:val="ru-RU"/>
              </w:rPr>
              <w:tab/>
              <w:t>договоры</w:t>
            </w:r>
            <w:r w:rsidRPr="00EC4764">
              <w:rPr>
                <w:sz w:val="24"/>
                <w:szCs w:val="24"/>
                <w:lang w:val="ru-RU"/>
              </w:rPr>
              <w:tab/>
              <w:t>страхования</w:t>
            </w:r>
            <w:r w:rsidRPr="00EC4764">
              <w:rPr>
                <w:sz w:val="24"/>
                <w:szCs w:val="24"/>
                <w:lang w:val="ru-RU"/>
              </w:rPr>
              <w:tab/>
              <w:t>с</w:t>
            </w:r>
            <w:r w:rsidRPr="00EC4764">
              <w:rPr>
                <w:sz w:val="24"/>
                <w:szCs w:val="24"/>
                <w:lang w:val="ru-RU"/>
              </w:rPr>
              <w:tab/>
            </w:r>
            <w:r w:rsidRPr="00EC4764">
              <w:rPr>
                <w:spacing w:val="-1"/>
                <w:sz w:val="24"/>
                <w:szCs w:val="24"/>
                <w:lang w:val="ru-RU"/>
              </w:rPr>
              <w:t xml:space="preserve">организациями, </w:t>
            </w:r>
            <w:r w:rsidRPr="00EC4764">
              <w:rPr>
                <w:sz w:val="24"/>
                <w:szCs w:val="24"/>
                <w:lang w:val="ru-RU"/>
              </w:rPr>
              <w:t>находящимися за пределами региона его места жительства(регистрации)</w:t>
            </w:r>
          </w:p>
        </w:tc>
      </w:tr>
      <w:tr w:rsidR="00E73AF7" w:rsidRPr="00E73AF7" w:rsidTr="007F08B6">
        <w:trPr>
          <w:trHeight w:hRule="exact" w:val="982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6</w:t>
            </w:r>
          </w:p>
        </w:tc>
        <w:tc>
          <w:tcPr>
            <w:tcW w:w="9093" w:type="dxa"/>
          </w:tcPr>
          <w:p w:rsidR="00E73AF7" w:rsidRPr="00EC4764" w:rsidRDefault="00E73AF7" w:rsidP="00EC4764">
            <w:pPr>
              <w:pStyle w:val="TableParagraph"/>
              <w:ind w:right="61"/>
              <w:jc w:val="both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Клиент обращается к страховщику с предложением о расширении в договоре страхования страхового покрытия рисков, выходящих за рамки его обычной деятельности</w:t>
            </w:r>
          </w:p>
        </w:tc>
      </w:tr>
      <w:tr w:rsidR="00E73AF7" w:rsidRPr="00E73AF7" w:rsidTr="007F08B6">
        <w:trPr>
          <w:trHeight w:hRule="exact" w:val="979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7</w:t>
            </w:r>
          </w:p>
        </w:tc>
        <w:tc>
          <w:tcPr>
            <w:tcW w:w="9093" w:type="dxa"/>
          </w:tcPr>
          <w:p w:rsidR="00E73AF7" w:rsidRPr="00EC4764" w:rsidRDefault="00E73AF7" w:rsidP="00EC4764">
            <w:pPr>
              <w:pStyle w:val="TableParagraph"/>
              <w:ind w:right="67"/>
              <w:jc w:val="both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При обращении клиент беспокоится о возможности досрочного прекращения договора страхования, а не о выполнении условий полиса (договора)</w:t>
            </w:r>
          </w:p>
        </w:tc>
      </w:tr>
      <w:tr w:rsidR="00E73AF7" w:rsidRPr="00E73AF7" w:rsidTr="007F08B6">
        <w:trPr>
          <w:trHeight w:hRule="exact" w:val="982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8</w:t>
            </w:r>
          </w:p>
        </w:tc>
        <w:tc>
          <w:tcPr>
            <w:tcW w:w="9093" w:type="dxa"/>
          </w:tcPr>
          <w:p w:rsidR="00E73AF7" w:rsidRPr="00EC4764" w:rsidRDefault="00E73AF7" w:rsidP="00EC4764">
            <w:pPr>
              <w:pStyle w:val="TableParagraph"/>
              <w:ind w:right="68"/>
              <w:jc w:val="both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 xml:space="preserve">Клиент заключает договоры страхования, сумма </w:t>
            </w:r>
            <w:r w:rsidR="007F08B6" w:rsidRPr="00EC4764">
              <w:rPr>
                <w:sz w:val="24"/>
                <w:szCs w:val="24"/>
                <w:lang w:val="ru-RU"/>
              </w:rPr>
              <w:t>уплачиваемых страховых</w:t>
            </w:r>
            <w:r w:rsidRPr="00EC4764">
              <w:rPr>
                <w:sz w:val="24"/>
                <w:szCs w:val="24"/>
                <w:lang w:val="ru-RU"/>
              </w:rPr>
              <w:t xml:space="preserve"> премий по которым очевидно превышает его платежеспособность</w:t>
            </w:r>
          </w:p>
        </w:tc>
      </w:tr>
      <w:tr w:rsidR="00E73AF7" w:rsidRPr="00E73AF7" w:rsidTr="007F08B6">
        <w:trPr>
          <w:trHeight w:hRule="exact" w:val="982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9</w:t>
            </w:r>
          </w:p>
        </w:tc>
        <w:tc>
          <w:tcPr>
            <w:tcW w:w="9093" w:type="dxa"/>
          </w:tcPr>
          <w:p w:rsidR="00E73AF7" w:rsidRPr="00EC4764" w:rsidRDefault="00E73AF7" w:rsidP="00EC4764">
            <w:pPr>
              <w:pStyle w:val="TableParagraph"/>
              <w:ind w:right="66"/>
              <w:jc w:val="both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  <w:lang w:val="ru-RU"/>
              </w:rPr>
              <w:t xml:space="preserve">Предоставление или получение страховой услуги с тарифной ставкой, которая более чем в 2 раза превышает среднюю </w:t>
            </w:r>
            <w:proofErr w:type="spellStart"/>
            <w:r w:rsidRPr="00EC4764">
              <w:rPr>
                <w:sz w:val="24"/>
                <w:szCs w:val="24"/>
              </w:rPr>
              <w:t>тарифную</w:t>
            </w:r>
            <w:proofErr w:type="spellEnd"/>
            <w:r w:rsidR="00EC4764" w:rsidRPr="00EC476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4764">
              <w:rPr>
                <w:sz w:val="24"/>
                <w:szCs w:val="24"/>
              </w:rPr>
              <w:t>ставку</w:t>
            </w:r>
            <w:proofErr w:type="spellEnd"/>
            <w:r w:rsidR="00EC4764" w:rsidRPr="00EC476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4764">
              <w:rPr>
                <w:sz w:val="24"/>
                <w:szCs w:val="24"/>
              </w:rPr>
              <w:t>по</w:t>
            </w:r>
            <w:proofErr w:type="spellEnd"/>
            <w:r w:rsidR="00EC4764" w:rsidRPr="00EC476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4764">
              <w:rPr>
                <w:sz w:val="24"/>
                <w:szCs w:val="24"/>
              </w:rPr>
              <w:t>аналогичной</w:t>
            </w:r>
            <w:proofErr w:type="spellEnd"/>
            <w:r w:rsidR="00EC4764" w:rsidRPr="00EC476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4764">
              <w:rPr>
                <w:sz w:val="24"/>
                <w:szCs w:val="24"/>
              </w:rPr>
              <w:t>услуге</w:t>
            </w:r>
            <w:proofErr w:type="spellEnd"/>
            <w:r w:rsidR="00EC4764" w:rsidRPr="00EC476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4764">
              <w:rPr>
                <w:sz w:val="24"/>
                <w:szCs w:val="24"/>
              </w:rPr>
              <w:t>на</w:t>
            </w:r>
            <w:proofErr w:type="spellEnd"/>
            <w:r w:rsidR="00EC4764" w:rsidRPr="00EC476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4764">
              <w:rPr>
                <w:sz w:val="24"/>
                <w:szCs w:val="24"/>
              </w:rPr>
              <w:t>внутреннем</w:t>
            </w:r>
            <w:proofErr w:type="spellEnd"/>
            <w:r w:rsidR="00EC4764" w:rsidRPr="00EC476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4764">
              <w:rPr>
                <w:sz w:val="24"/>
                <w:szCs w:val="24"/>
              </w:rPr>
              <w:t>рынке</w:t>
            </w:r>
            <w:proofErr w:type="spellEnd"/>
            <w:r w:rsidR="00EC4764" w:rsidRPr="00EC476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4764">
              <w:rPr>
                <w:sz w:val="24"/>
                <w:szCs w:val="24"/>
              </w:rPr>
              <w:t>страхования</w:t>
            </w:r>
            <w:proofErr w:type="spellEnd"/>
          </w:p>
        </w:tc>
      </w:tr>
      <w:tr w:rsidR="00E73AF7" w:rsidRPr="00E73AF7" w:rsidTr="007F08B6">
        <w:trPr>
          <w:trHeight w:hRule="exact" w:val="982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10</w:t>
            </w:r>
          </w:p>
        </w:tc>
        <w:tc>
          <w:tcPr>
            <w:tcW w:w="9093" w:type="dxa"/>
          </w:tcPr>
          <w:p w:rsidR="00E73AF7" w:rsidRPr="00EC4764" w:rsidRDefault="00E73AF7" w:rsidP="00EC4764">
            <w:pPr>
              <w:pStyle w:val="TableParagraph"/>
              <w:ind w:right="61"/>
              <w:jc w:val="both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Внесение клиентом в кассу организации – профессионального участника рынка ценных бумаг единовременно или по частям наличных денежных средств на сумму, равную или превышающую 300 000 рублей</w:t>
            </w:r>
          </w:p>
        </w:tc>
      </w:tr>
      <w:tr w:rsidR="00E73AF7" w:rsidRPr="00E73AF7" w:rsidTr="007F08B6">
        <w:trPr>
          <w:trHeight w:hRule="exact" w:val="2269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9093" w:type="dxa"/>
          </w:tcPr>
          <w:p w:rsidR="00E73AF7" w:rsidRPr="00EC4764" w:rsidRDefault="00E73AF7" w:rsidP="00EC4764">
            <w:pPr>
              <w:pStyle w:val="TableParagraph"/>
              <w:ind w:right="60"/>
              <w:jc w:val="both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 xml:space="preserve">Совершение профессиональным участником рынка </w:t>
            </w:r>
            <w:proofErr w:type="gramStart"/>
            <w:r w:rsidRPr="00EC4764">
              <w:rPr>
                <w:sz w:val="24"/>
                <w:szCs w:val="24"/>
                <w:lang w:val="ru-RU"/>
              </w:rPr>
              <w:t>ценных  бумаг</w:t>
            </w:r>
            <w:proofErr w:type="gramEnd"/>
            <w:r w:rsidRPr="00EC4764">
              <w:rPr>
                <w:sz w:val="24"/>
                <w:szCs w:val="24"/>
                <w:lang w:val="ru-RU"/>
              </w:rPr>
              <w:t xml:space="preserve">  за свой счет или за счет клиента на внебиржевом рынке и/или через организаторо</w:t>
            </w:r>
            <w:bookmarkStart w:id="0" w:name="_GoBack"/>
            <w:bookmarkEnd w:id="0"/>
            <w:r w:rsidRPr="00EC4764">
              <w:rPr>
                <w:sz w:val="24"/>
                <w:szCs w:val="24"/>
                <w:lang w:val="ru-RU"/>
              </w:rPr>
              <w:t>в торговли на рынке ценных бумаг (далее – организаторы торговли) на основании двух адресных заявок сделок с  ценными бумагами и/или иными финансовыми инструментами на сумму не менее 200 000 рублей каждая, в которых покупатель и продавец действуют в интересах  одного и того же</w:t>
            </w:r>
            <w:r w:rsidR="00EC4764" w:rsidRPr="00EC4764">
              <w:rPr>
                <w:sz w:val="24"/>
                <w:szCs w:val="24"/>
                <w:lang w:val="ru-RU"/>
              </w:rPr>
              <w:t xml:space="preserve"> </w:t>
            </w:r>
            <w:r w:rsidRPr="00EC4764">
              <w:rPr>
                <w:sz w:val="24"/>
                <w:szCs w:val="24"/>
                <w:lang w:val="ru-RU"/>
              </w:rPr>
              <w:t>выгодоприобретателя</w:t>
            </w:r>
          </w:p>
        </w:tc>
      </w:tr>
      <w:tr w:rsidR="00E73AF7" w:rsidRPr="00E73AF7" w:rsidTr="007F08B6">
        <w:trPr>
          <w:trHeight w:hRule="exact" w:val="2914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12</w:t>
            </w:r>
          </w:p>
        </w:tc>
        <w:tc>
          <w:tcPr>
            <w:tcW w:w="9093" w:type="dxa"/>
          </w:tcPr>
          <w:p w:rsidR="00E73AF7" w:rsidRPr="00EC4764" w:rsidRDefault="00E73AF7" w:rsidP="00EC4764">
            <w:pPr>
              <w:pStyle w:val="TableParagraph"/>
              <w:ind w:right="61"/>
              <w:jc w:val="both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Совершение профессиональным участником рынка ценных  бумаг  за свой счет или за счет клиента взаимных сделок, когда стороны таких сделок (профессиональные участники рынка ценных бумаг или их клиенты) регулярно меняются, выступая в качестве то продавцов, то покупателей, приобретая/продавая при этом единовременно или  по частям одни и те же ценные бумаги и/или иные  финансовые  инструменты примерно одного и того же объема (в случае совершения взаимных сделок на внебиржевом рынке и/или через организаторов торговли на основании  двух  адресных</w:t>
            </w:r>
            <w:r w:rsidR="00EC4764" w:rsidRPr="00EC4764">
              <w:rPr>
                <w:sz w:val="24"/>
                <w:szCs w:val="24"/>
                <w:lang w:val="ru-RU"/>
              </w:rPr>
              <w:t xml:space="preserve"> </w:t>
            </w:r>
            <w:r w:rsidRPr="00EC4764">
              <w:rPr>
                <w:sz w:val="24"/>
                <w:szCs w:val="24"/>
                <w:lang w:val="ru-RU"/>
              </w:rPr>
              <w:t>заявок)</w:t>
            </w:r>
          </w:p>
        </w:tc>
      </w:tr>
      <w:tr w:rsidR="00E73AF7" w:rsidRPr="00E73AF7" w:rsidTr="007F08B6">
        <w:trPr>
          <w:trHeight w:hRule="exact" w:val="2271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13</w:t>
            </w:r>
          </w:p>
        </w:tc>
        <w:tc>
          <w:tcPr>
            <w:tcW w:w="9093" w:type="dxa"/>
          </w:tcPr>
          <w:p w:rsidR="00E73AF7" w:rsidRPr="00EC4764" w:rsidRDefault="00E73AF7" w:rsidP="00EC4764">
            <w:pPr>
              <w:pStyle w:val="TableParagraph"/>
              <w:ind w:right="59"/>
              <w:jc w:val="both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 xml:space="preserve">Совершение профессиональным участником рынка </w:t>
            </w:r>
            <w:proofErr w:type="gramStart"/>
            <w:r w:rsidRPr="00EC4764">
              <w:rPr>
                <w:sz w:val="24"/>
                <w:szCs w:val="24"/>
                <w:lang w:val="ru-RU"/>
              </w:rPr>
              <w:t>ценных  бумаг</w:t>
            </w:r>
            <w:proofErr w:type="gramEnd"/>
            <w:r w:rsidRPr="00EC4764">
              <w:rPr>
                <w:sz w:val="24"/>
                <w:szCs w:val="24"/>
                <w:lang w:val="ru-RU"/>
              </w:rPr>
              <w:t xml:space="preserve">  за свой счет или за счет клиента сделок по покупке и продаже единовременно или по частям одних и тех же ценных бумаг примерно одного и того же объема в течение одного торгового дня при условии,  что цена сделки по продаже ниже или равна цене сделки по покупке, а рыночная цена ценной бумаги по итогам этого же торгового дня не может быть</w:t>
            </w:r>
            <w:r w:rsidR="00EC4764" w:rsidRPr="00EC4764">
              <w:rPr>
                <w:sz w:val="24"/>
                <w:szCs w:val="24"/>
                <w:lang w:val="ru-RU"/>
              </w:rPr>
              <w:t xml:space="preserve"> </w:t>
            </w:r>
            <w:r w:rsidRPr="00EC4764">
              <w:rPr>
                <w:sz w:val="24"/>
                <w:szCs w:val="24"/>
                <w:lang w:val="ru-RU"/>
              </w:rPr>
              <w:t>определена</w:t>
            </w:r>
          </w:p>
        </w:tc>
      </w:tr>
      <w:tr w:rsidR="00E73AF7" w:rsidRPr="00E73AF7" w:rsidTr="007F08B6">
        <w:trPr>
          <w:trHeight w:hRule="exact" w:val="2590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14</w:t>
            </w:r>
          </w:p>
        </w:tc>
        <w:tc>
          <w:tcPr>
            <w:tcW w:w="9093" w:type="dxa"/>
          </w:tcPr>
          <w:p w:rsidR="00E73AF7" w:rsidRPr="00EC4764" w:rsidRDefault="00E73AF7" w:rsidP="00EC4764">
            <w:pPr>
              <w:pStyle w:val="TableParagraph"/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 xml:space="preserve">Совершение профессиональным участником рынка </w:t>
            </w:r>
            <w:proofErr w:type="gramStart"/>
            <w:r w:rsidRPr="00EC4764">
              <w:rPr>
                <w:sz w:val="24"/>
                <w:szCs w:val="24"/>
                <w:lang w:val="ru-RU"/>
              </w:rPr>
              <w:t>ценных  бумаг</w:t>
            </w:r>
            <w:proofErr w:type="gramEnd"/>
            <w:r w:rsidRPr="00EC4764">
              <w:rPr>
                <w:sz w:val="24"/>
                <w:szCs w:val="24"/>
                <w:lang w:val="ru-RU"/>
              </w:rPr>
              <w:t xml:space="preserve">  за свой счет или за счет клиента сделок купли-продажи ценных бумаг и/или иных финансовых документов с одним контрагентом, результатом которых является прибыль или убыток соответствующего профессионального участника рынка ценных бумаг или его клиента в совокупном размере 200 000 и более рублей (в случае  совершения  сделок на внебиржевом рынке и/или через организаторов торговли на основании  двух  адресных</w:t>
            </w:r>
            <w:r w:rsidR="00EC4764" w:rsidRPr="00EC4764">
              <w:rPr>
                <w:sz w:val="24"/>
                <w:szCs w:val="24"/>
                <w:lang w:val="ru-RU"/>
              </w:rPr>
              <w:t xml:space="preserve"> </w:t>
            </w:r>
            <w:r w:rsidRPr="00EC4764">
              <w:rPr>
                <w:sz w:val="24"/>
                <w:szCs w:val="24"/>
                <w:lang w:val="ru-RU"/>
              </w:rPr>
              <w:t>заявок)</w:t>
            </w:r>
          </w:p>
        </w:tc>
      </w:tr>
      <w:tr w:rsidR="00E73AF7" w:rsidRPr="00E73AF7" w:rsidTr="007F08B6">
        <w:trPr>
          <w:trHeight w:hRule="exact" w:val="1887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15</w:t>
            </w:r>
          </w:p>
        </w:tc>
        <w:tc>
          <w:tcPr>
            <w:tcW w:w="9093" w:type="dxa"/>
          </w:tcPr>
          <w:p w:rsidR="00E73AF7" w:rsidRPr="00EC4764" w:rsidRDefault="00E73AF7" w:rsidP="00EC4764">
            <w:pPr>
              <w:pStyle w:val="TableParagraph"/>
              <w:ind w:right="61"/>
              <w:jc w:val="both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 xml:space="preserve">Совершение профессиональным участником рынка </w:t>
            </w:r>
            <w:proofErr w:type="gramStart"/>
            <w:r w:rsidRPr="00EC4764">
              <w:rPr>
                <w:sz w:val="24"/>
                <w:szCs w:val="24"/>
                <w:lang w:val="ru-RU"/>
              </w:rPr>
              <w:t>ценных  бумаг</w:t>
            </w:r>
            <w:proofErr w:type="gramEnd"/>
            <w:r w:rsidRPr="00EC4764">
              <w:rPr>
                <w:sz w:val="24"/>
                <w:szCs w:val="24"/>
                <w:lang w:val="ru-RU"/>
              </w:rPr>
              <w:t xml:space="preserve">  за свой счет или за  счет  клиента  сделки  купли-продажи  ценных  бумаг,  не  обращающихся  через  организаторов  торговли,  по  цене, существенно отличающейся от цены хотя бы в одной из сделок по этой ценной бумаге, совершенных профессиональным участником рынка ценных бумаг на внебиржевом рынке за последние 30 дней, предшествующих  дате заключения рассматриваемой</w:t>
            </w:r>
            <w:r w:rsidR="00EC4764" w:rsidRPr="00EC4764">
              <w:rPr>
                <w:sz w:val="24"/>
                <w:szCs w:val="24"/>
                <w:lang w:val="ru-RU"/>
              </w:rPr>
              <w:t xml:space="preserve"> </w:t>
            </w:r>
            <w:r w:rsidRPr="00EC4764">
              <w:rPr>
                <w:sz w:val="24"/>
                <w:szCs w:val="24"/>
                <w:lang w:val="ru-RU"/>
              </w:rPr>
              <w:t>сделки</w:t>
            </w:r>
          </w:p>
        </w:tc>
      </w:tr>
      <w:tr w:rsidR="00E73AF7" w:rsidRPr="00E73AF7" w:rsidTr="007F08B6">
        <w:trPr>
          <w:trHeight w:hRule="exact" w:val="2270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16</w:t>
            </w:r>
          </w:p>
        </w:tc>
        <w:tc>
          <w:tcPr>
            <w:tcW w:w="9093" w:type="dxa"/>
          </w:tcPr>
          <w:p w:rsidR="00E73AF7" w:rsidRPr="00EC4764" w:rsidRDefault="00E73AF7" w:rsidP="00EC4764">
            <w:pPr>
              <w:pStyle w:val="TableParagraph"/>
              <w:ind w:right="59"/>
              <w:jc w:val="both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 xml:space="preserve">Совершение профессиональным участником рынка ценных бумаг за свой счет или за счет клиента сделки купли-продажи ценных бумаг, обращающихся через организаторов торговли, </w:t>
            </w:r>
            <w:proofErr w:type="gramStart"/>
            <w:r w:rsidRPr="00EC4764">
              <w:rPr>
                <w:sz w:val="24"/>
                <w:szCs w:val="24"/>
                <w:lang w:val="ru-RU"/>
              </w:rPr>
              <w:t>на  внебиржевом</w:t>
            </w:r>
            <w:proofErr w:type="gramEnd"/>
            <w:r w:rsidRPr="00EC4764">
              <w:rPr>
                <w:sz w:val="24"/>
                <w:szCs w:val="24"/>
                <w:lang w:val="ru-RU"/>
              </w:rPr>
              <w:t xml:space="preserve">  рынке или через организатора торговли на  основании  двух  адресных   заявок по цене, существенно отличающейся от рыночной цены такой ценной бумаги, рассчитанной на конец того  торгового  дня,  в  который  она  была</w:t>
            </w:r>
            <w:r w:rsidR="00EC4764" w:rsidRPr="00EC4764">
              <w:rPr>
                <w:sz w:val="24"/>
                <w:szCs w:val="24"/>
                <w:lang w:val="ru-RU"/>
              </w:rPr>
              <w:t xml:space="preserve"> </w:t>
            </w:r>
            <w:r w:rsidRPr="00EC4764">
              <w:rPr>
                <w:sz w:val="24"/>
                <w:szCs w:val="24"/>
                <w:lang w:val="ru-RU"/>
              </w:rPr>
              <w:t>совершена</w:t>
            </w:r>
          </w:p>
        </w:tc>
      </w:tr>
      <w:tr w:rsidR="00E73AF7" w:rsidRPr="00E73AF7" w:rsidTr="007F08B6">
        <w:trPr>
          <w:trHeight w:hRule="exact" w:val="1304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9093" w:type="dxa"/>
          </w:tcPr>
          <w:p w:rsidR="00E73AF7" w:rsidRPr="00EC4764" w:rsidRDefault="00E73AF7" w:rsidP="00EC4764">
            <w:pPr>
              <w:pStyle w:val="TableParagraph"/>
              <w:ind w:right="65"/>
              <w:jc w:val="both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 xml:space="preserve">Регулярное совершение операций, связанных с фиксацией прав собственности на ценные бумаги, с одними и теми же ценными бумагами примерно в одном и том же объеме, в которых попеременно одни и те же лица выступают в качестве лиц, их </w:t>
            </w:r>
            <w:proofErr w:type="gramStart"/>
            <w:r w:rsidRPr="00EC4764">
              <w:rPr>
                <w:sz w:val="24"/>
                <w:szCs w:val="24"/>
                <w:lang w:val="ru-RU"/>
              </w:rPr>
              <w:t>отчуждающих  и</w:t>
            </w:r>
            <w:proofErr w:type="gramEnd"/>
            <w:r w:rsidR="00EC4764" w:rsidRPr="00EC4764">
              <w:rPr>
                <w:sz w:val="24"/>
                <w:szCs w:val="24"/>
                <w:lang w:val="ru-RU"/>
              </w:rPr>
              <w:t xml:space="preserve"> </w:t>
            </w:r>
            <w:r w:rsidRPr="00EC4764">
              <w:rPr>
                <w:sz w:val="24"/>
                <w:szCs w:val="24"/>
                <w:lang w:val="ru-RU"/>
              </w:rPr>
              <w:t>приобретающих</w:t>
            </w:r>
          </w:p>
        </w:tc>
      </w:tr>
      <w:tr w:rsidR="00E73AF7" w:rsidRPr="00E73AF7" w:rsidTr="007F08B6">
        <w:trPr>
          <w:trHeight w:hRule="exact" w:val="658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18</w:t>
            </w:r>
          </w:p>
        </w:tc>
        <w:tc>
          <w:tcPr>
            <w:tcW w:w="9093" w:type="dxa"/>
          </w:tcPr>
          <w:p w:rsidR="00E73AF7" w:rsidRPr="00EC4764" w:rsidRDefault="00E73AF7" w:rsidP="00EC4764">
            <w:pPr>
              <w:pStyle w:val="TableParagraph"/>
              <w:tabs>
                <w:tab w:val="left" w:pos="4583"/>
                <w:tab w:val="left" w:pos="5319"/>
                <w:tab w:val="left" w:pos="6908"/>
              </w:tabs>
              <w:ind w:right="70"/>
              <w:rPr>
                <w:sz w:val="24"/>
                <w:szCs w:val="24"/>
                <w:lang w:val="ru-RU"/>
              </w:rPr>
            </w:pPr>
            <w:proofErr w:type="gramStart"/>
            <w:r w:rsidRPr="00EC4764">
              <w:rPr>
                <w:sz w:val="24"/>
                <w:szCs w:val="24"/>
                <w:lang w:val="ru-RU"/>
              </w:rPr>
              <w:t>Регулярное  зачисление</w:t>
            </w:r>
            <w:proofErr w:type="gramEnd"/>
            <w:r w:rsidR="00EC4764" w:rsidRPr="00EC4764">
              <w:rPr>
                <w:sz w:val="24"/>
                <w:szCs w:val="24"/>
                <w:lang w:val="ru-RU"/>
              </w:rPr>
              <w:t xml:space="preserve"> </w:t>
            </w:r>
            <w:r w:rsidRPr="00EC4764">
              <w:rPr>
                <w:sz w:val="24"/>
                <w:szCs w:val="24"/>
                <w:lang w:val="ru-RU"/>
              </w:rPr>
              <w:t>на</w:t>
            </w:r>
            <w:r w:rsidR="00EC4764" w:rsidRPr="00EC4764">
              <w:rPr>
                <w:sz w:val="24"/>
                <w:szCs w:val="24"/>
                <w:lang w:val="ru-RU"/>
              </w:rPr>
              <w:t xml:space="preserve"> </w:t>
            </w:r>
            <w:r w:rsidRPr="00EC4764">
              <w:rPr>
                <w:sz w:val="24"/>
                <w:szCs w:val="24"/>
                <w:lang w:val="ru-RU"/>
              </w:rPr>
              <w:t>лицевой</w:t>
            </w:r>
            <w:r w:rsidRPr="00EC4764">
              <w:rPr>
                <w:sz w:val="24"/>
                <w:szCs w:val="24"/>
                <w:lang w:val="ru-RU"/>
              </w:rPr>
              <w:tab/>
              <w:t>счет</w:t>
            </w:r>
            <w:r w:rsidRPr="00EC4764">
              <w:rPr>
                <w:sz w:val="24"/>
                <w:szCs w:val="24"/>
                <w:lang w:val="ru-RU"/>
              </w:rPr>
              <w:tab/>
              <w:t>и</w:t>
            </w:r>
            <w:r w:rsidR="00EC4764" w:rsidRPr="00EC4764">
              <w:rPr>
                <w:sz w:val="24"/>
                <w:szCs w:val="24"/>
                <w:lang w:val="ru-RU"/>
              </w:rPr>
              <w:t xml:space="preserve"> </w:t>
            </w:r>
            <w:r w:rsidRPr="00EC4764">
              <w:rPr>
                <w:sz w:val="24"/>
                <w:szCs w:val="24"/>
                <w:lang w:val="ru-RU"/>
              </w:rPr>
              <w:t>списание</w:t>
            </w:r>
            <w:r w:rsidRPr="00EC4764">
              <w:rPr>
                <w:sz w:val="24"/>
                <w:szCs w:val="24"/>
                <w:lang w:val="ru-RU"/>
              </w:rPr>
              <w:tab/>
              <w:t>с</w:t>
            </w:r>
            <w:r w:rsidR="00EC4764" w:rsidRPr="00EC4764">
              <w:rPr>
                <w:sz w:val="24"/>
                <w:szCs w:val="24"/>
                <w:lang w:val="ru-RU"/>
              </w:rPr>
              <w:t xml:space="preserve"> </w:t>
            </w:r>
            <w:r w:rsidRPr="00EC4764">
              <w:rPr>
                <w:sz w:val="24"/>
                <w:szCs w:val="24"/>
                <w:lang w:val="ru-RU"/>
              </w:rPr>
              <w:t>лицевого</w:t>
            </w:r>
            <w:r w:rsidR="00EC4764" w:rsidRPr="00EC4764">
              <w:rPr>
                <w:sz w:val="24"/>
                <w:szCs w:val="24"/>
                <w:lang w:val="ru-RU"/>
              </w:rPr>
              <w:t xml:space="preserve"> </w:t>
            </w:r>
            <w:r w:rsidRPr="00EC4764">
              <w:rPr>
                <w:sz w:val="24"/>
                <w:szCs w:val="24"/>
                <w:lang w:val="ru-RU"/>
              </w:rPr>
              <w:t>счета одних и тех же ценных  бумаг примерно  в одном и том же</w:t>
            </w:r>
            <w:r w:rsidR="00EC4764" w:rsidRPr="00EC4764">
              <w:rPr>
                <w:sz w:val="24"/>
                <w:szCs w:val="24"/>
                <w:lang w:val="ru-RU"/>
              </w:rPr>
              <w:t xml:space="preserve"> </w:t>
            </w:r>
            <w:r w:rsidRPr="00EC4764">
              <w:rPr>
                <w:sz w:val="24"/>
                <w:szCs w:val="24"/>
                <w:lang w:val="ru-RU"/>
              </w:rPr>
              <w:t>объеме</w:t>
            </w:r>
          </w:p>
        </w:tc>
      </w:tr>
      <w:tr w:rsidR="00E73AF7" w:rsidRPr="00E73AF7" w:rsidTr="007F08B6">
        <w:trPr>
          <w:trHeight w:hRule="exact" w:val="982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19</w:t>
            </w:r>
          </w:p>
        </w:tc>
        <w:tc>
          <w:tcPr>
            <w:tcW w:w="9093" w:type="dxa"/>
          </w:tcPr>
          <w:p w:rsidR="00E73AF7" w:rsidRPr="00EC4764" w:rsidRDefault="00E73AF7" w:rsidP="00EC4764">
            <w:pPr>
              <w:pStyle w:val="TableParagraph"/>
              <w:ind w:right="68"/>
              <w:jc w:val="both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Ежедневное зачисление на лицевой счет и списание с лицевого счета одного и того же количества одних и тех же ценных бумаг, в случае, если их количество на начало и на конец операционного дня одно и то же</w:t>
            </w:r>
          </w:p>
        </w:tc>
      </w:tr>
      <w:tr w:rsidR="00E73AF7" w:rsidRPr="00E73AF7" w:rsidTr="007F08B6">
        <w:trPr>
          <w:trHeight w:hRule="exact" w:val="660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20</w:t>
            </w:r>
          </w:p>
        </w:tc>
        <w:tc>
          <w:tcPr>
            <w:tcW w:w="9093" w:type="dxa"/>
          </w:tcPr>
          <w:p w:rsidR="00E73AF7" w:rsidRPr="00EC4764" w:rsidRDefault="00E73AF7" w:rsidP="00EC4764">
            <w:pPr>
              <w:pStyle w:val="TableParagraph"/>
              <w:ind w:right="359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Оплата лизинговых платежей по поручению лизингополучателя третьим лицом</w:t>
            </w:r>
          </w:p>
        </w:tc>
      </w:tr>
      <w:tr w:rsidR="00E73AF7" w:rsidRPr="00E73AF7" w:rsidTr="007F08B6">
        <w:trPr>
          <w:trHeight w:hRule="exact" w:val="980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21</w:t>
            </w:r>
          </w:p>
        </w:tc>
        <w:tc>
          <w:tcPr>
            <w:tcW w:w="9093" w:type="dxa"/>
          </w:tcPr>
          <w:p w:rsidR="00E73AF7" w:rsidRPr="00EC4764" w:rsidRDefault="00E73AF7" w:rsidP="00EC4764">
            <w:pPr>
              <w:pStyle w:val="TableParagraph"/>
              <w:ind w:right="60"/>
              <w:jc w:val="both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Заключение договора лизинга (</w:t>
            </w:r>
            <w:proofErr w:type="spellStart"/>
            <w:r w:rsidRPr="00EC4764">
              <w:rPr>
                <w:sz w:val="24"/>
                <w:szCs w:val="24"/>
                <w:lang w:val="ru-RU"/>
              </w:rPr>
              <w:t>сублизинга</w:t>
            </w:r>
            <w:proofErr w:type="spellEnd"/>
            <w:r w:rsidRPr="00EC4764">
              <w:rPr>
                <w:sz w:val="24"/>
                <w:szCs w:val="24"/>
                <w:lang w:val="ru-RU"/>
              </w:rPr>
              <w:t>), когда продавцом предмета лизинга и лизингополучателем (</w:t>
            </w:r>
            <w:proofErr w:type="spellStart"/>
            <w:r w:rsidRPr="00EC4764">
              <w:rPr>
                <w:sz w:val="24"/>
                <w:szCs w:val="24"/>
                <w:lang w:val="ru-RU"/>
              </w:rPr>
              <w:t>сублизингополучателем</w:t>
            </w:r>
            <w:proofErr w:type="spellEnd"/>
            <w:r w:rsidRPr="00EC4764">
              <w:rPr>
                <w:sz w:val="24"/>
                <w:szCs w:val="24"/>
                <w:lang w:val="ru-RU"/>
              </w:rPr>
              <w:t>) выступает одно и то же</w:t>
            </w:r>
            <w:r w:rsidR="00EC4764" w:rsidRPr="00EC4764">
              <w:rPr>
                <w:sz w:val="24"/>
                <w:szCs w:val="24"/>
                <w:lang w:val="ru-RU"/>
              </w:rPr>
              <w:t xml:space="preserve"> </w:t>
            </w:r>
            <w:r w:rsidRPr="00EC4764">
              <w:rPr>
                <w:sz w:val="24"/>
                <w:szCs w:val="24"/>
                <w:lang w:val="ru-RU"/>
              </w:rPr>
              <w:t>лицо</w:t>
            </w:r>
          </w:p>
        </w:tc>
      </w:tr>
      <w:tr w:rsidR="00E73AF7" w:rsidRPr="00E73AF7" w:rsidTr="007F08B6">
        <w:trPr>
          <w:trHeight w:hRule="exact" w:val="982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22</w:t>
            </w:r>
          </w:p>
        </w:tc>
        <w:tc>
          <w:tcPr>
            <w:tcW w:w="9093" w:type="dxa"/>
          </w:tcPr>
          <w:p w:rsidR="00E73AF7" w:rsidRPr="00EC4764" w:rsidRDefault="00E73AF7" w:rsidP="00EC4764">
            <w:pPr>
              <w:pStyle w:val="TableParagraph"/>
              <w:tabs>
                <w:tab w:val="left" w:pos="7341"/>
              </w:tabs>
              <w:ind w:right="128"/>
              <w:rPr>
                <w:sz w:val="24"/>
                <w:szCs w:val="24"/>
                <w:lang w:val="ru-RU"/>
              </w:rPr>
            </w:pPr>
            <w:proofErr w:type="gramStart"/>
            <w:r w:rsidRPr="00EC4764">
              <w:rPr>
                <w:sz w:val="24"/>
                <w:szCs w:val="24"/>
                <w:lang w:val="ru-RU"/>
              </w:rPr>
              <w:t>Предложение  или</w:t>
            </w:r>
            <w:proofErr w:type="gramEnd"/>
            <w:r w:rsidRPr="00EC4764">
              <w:rPr>
                <w:sz w:val="24"/>
                <w:szCs w:val="24"/>
                <w:lang w:val="ru-RU"/>
              </w:rPr>
              <w:t xml:space="preserve">  попытка  клиента  совершить</w:t>
            </w:r>
            <w:r w:rsidR="00EC4764" w:rsidRPr="00EC4764">
              <w:rPr>
                <w:sz w:val="24"/>
                <w:szCs w:val="24"/>
                <w:lang w:val="ru-RU"/>
              </w:rPr>
              <w:t xml:space="preserve"> </w:t>
            </w:r>
            <w:r w:rsidRPr="00EC4764">
              <w:rPr>
                <w:sz w:val="24"/>
                <w:szCs w:val="24"/>
                <w:lang w:val="ru-RU"/>
              </w:rPr>
              <w:t>сделку</w:t>
            </w:r>
            <w:r w:rsidR="00EC4764" w:rsidRPr="00EC4764">
              <w:rPr>
                <w:sz w:val="24"/>
                <w:szCs w:val="24"/>
                <w:lang w:val="ru-RU"/>
              </w:rPr>
              <w:t xml:space="preserve">        </w:t>
            </w:r>
            <w:r w:rsidRPr="00EC4764">
              <w:rPr>
                <w:sz w:val="24"/>
                <w:szCs w:val="24"/>
                <w:lang w:val="ru-RU"/>
              </w:rPr>
              <w:t>с</w:t>
            </w:r>
            <w:r w:rsidRPr="00EC4764">
              <w:rPr>
                <w:sz w:val="24"/>
                <w:szCs w:val="24"/>
                <w:lang w:val="ru-RU"/>
              </w:rPr>
              <w:tab/>
            </w:r>
            <w:r w:rsidRPr="00EC4764">
              <w:rPr>
                <w:spacing w:val="-1"/>
                <w:sz w:val="24"/>
                <w:szCs w:val="24"/>
                <w:lang w:val="ru-RU"/>
              </w:rPr>
              <w:t xml:space="preserve">недвижимым </w:t>
            </w:r>
            <w:r w:rsidRPr="00EC4764">
              <w:rPr>
                <w:sz w:val="24"/>
                <w:szCs w:val="24"/>
                <w:lang w:val="ru-RU"/>
              </w:rPr>
              <w:t>имуществом, на которое наложено обременение (за исключением ипотеки)</w:t>
            </w:r>
          </w:p>
        </w:tc>
      </w:tr>
      <w:tr w:rsidR="00E73AF7" w:rsidRPr="00E73AF7" w:rsidTr="007F08B6">
        <w:trPr>
          <w:trHeight w:hRule="exact" w:val="660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23</w:t>
            </w:r>
          </w:p>
        </w:tc>
        <w:tc>
          <w:tcPr>
            <w:tcW w:w="9093" w:type="dxa"/>
          </w:tcPr>
          <w:p w:rsidR="00E73AF7" w:rsidRPr="00EC4764" w:rsidRDefault="00E73AF7" w:rsidP="00EC4764">
            <w:pPr>
              <w:pStyle w:val="TableParagraph"/>
              <w:ind w:right="63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Совершение сделки с недвижимым имуществом по цене, отличной от рыночной в 2 и более раз</w:t>
            </w:r>
          </w:p>
        </w:tc>
      </w:tr>
      <w:tr w:rsidR="00E73AF7" w:rsidRPr="00E73AF7" w:rsidTr="007F08B6">
        <w:trPr>
          <w:trHeight w:hRule="exact" w:val="658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24</w:t>
            </w:r>
          </w:p>
        </w:tc>
        <w:tc>
          <w:tcPr>
            <w:tcW w:w="9093" w:type="dxa"/>
          </w:tcPr>
          <w:p w:rsidR="00E73AF7" w:rsidRPr="00EC4764" w:rsidRDefault="00E73AF7" w:rsidP="00EC4764">
            <w:pPr>
              <w:pStyle w:val="TableParagraph"/>
              <w:tabs>
                <w:tab w:val="left" w:pos="1029"/>
                <w:tab w:val="left" w:pos="4234"/>
                <w:tab w:val="left" w:pos="5428"/>
                <w:tab w:val="left" w:pos="6314"/>
                <w:tab w:val="left" w:pos="7547"/>
              </w:tabs>
              <w:ind w:right="66"/>
              <w:rPr>
                <w:sz w:val="24"/>
                <w:szCs w:val="24"/>
                <w:lang w:val="ru-RU"/>
              </w:rPr>
            </w:pPr>
            <w:proofErr w:type="gramStart"/>
            <w:r w:rsidRPr="00EC4764">
              <w:rPr>
                <w:sz w:val="24"/>
                <w:szCs w:val="24"/>
                <w:lang w:val="ru-RU"/>
              </w:rPr>
              <w:t>Многократная  (</w:t>
            </w:r>
            <w:proofErr w:type="gramEnd"/>
            <w:r w:rsidRPr="00EC4764">
              <w:rPr>
                <w:sz w:val="24"/>
                <w:szCs w:val="24"/>
                <w:lang w:val="ru-RU"/>
              </w:rPr>
              <w:t>три и</w:t>
            </w:r>
            <w:r w:rsidR="00EC4764" w:rsidRPr="00EC4764">
              <w:rPr>
                <w:sz w:val="24"/>
                <w:szCs w:val="24"/>
                <w:lang w:val="ru-RU"/>
              </w:rPr>
              <w:t xml:space="preserve"> </w:t>
            </w:r>
            <w:r w:rsidRPr="00EC4764">
              <w:rPr>
                <w:sz w:val="24"/>
                <w:szCs w:val="24"/>
                <w:lang w:val="ru-RU"/>
              </w:rPr>
              <w:t>более</w:t>
            </w:r>
            <w:r w:rsidR="00EC4764" w:rsidRPr="00EC4764">
              <w:rPr>
                <w:sz w:val="24"/>
                <w:szCs w:val="24"/>
                <w:lang w:val="ru-RU"/>
              </w:rPr>
              <w:t xml:space="preserve"> </w:t>
            </w:r>
            <w:r w:rsidRPr="00EC4764">
              <w:rPr>
                <w:sz w:val="24"/>
                <w:szCs w:val="24"/>
                <w:lang w:val="ru-RU"/>
              </w:rPr>
              <w:t>раз)</w:t>
            </w:r>
            <w:r w:rsidRPr="00EC4764">
              <w:rPr>
                <w:sz w:val="24"/>
                <w:szCs w:val="24"/>
                <w:lang w:val="ru-RU"/>
              </w:rPr>
              <w:tab/>
              <w:t>покупка</w:t>
            </w:r>
            <w:r w:rsidRPr="00EC4764">
              <w:rPr>
                <w:sz w:val="24"/>
                <w:szCs w:val="24"/>
                <w:lang w:val="ru-RU"/>
              </w:rPr>
              <w:tab/>
              <w:t>и/или</w:t>
            </w:r>
            <w:r w:rsidRPr="00EC4764">
              <w:rPr>
                <w:sz w:val="24"/>
                <w:szCs w:val="24"/>
                <w:lang w:val="ru-RU"/>
              </w:rPr>
              <w:tab/>
              <w:t>продажа</w:t>
            </w:r>
            <w:r w:rsidRPr="00EC4764">
              <w:rPr>
                <w:sz w:val="24"/>
                <w:szCs w:val="24"/>
                <w:lang w:val="ru-RU"/>
              </w:rPr>
              <w:tab/>
            </w:r>
            <w:r w:rsidRPr="00EC4764">
              <w:rPr>
                <w:spacing w:val="-1"/>
                <w:sz w:val="24"/>
                <w:szCs w:val="24"/>
                <w:lang w:val="ru-RU"/>
              </w:rPr>
              <w:t xml:space="preserve">физическим </w:t>
            </w:r>
            <w:r w:rsidRPr="00EC4764">
              <w:rPr>
                <w:sz w:val="24"/>
                <w:szCs w:val="24"/>
                <w:lang w:val="ru-RU"/>
              </w:rPr>
              <w:t>лицом</w:t>
            </w:r>
            <w:r w:rsidRPr="00EC4764">
              <w:rPr>
                <w:sz w:val="24"/>
                <w:szCs w:val="24"/>
                <w:lang w:val="ru-RU"/>
              </w:rPr>
              <w:tab/>
              <w:t>объектов</w:t>
            </w:r>
            <w:r w:rsidR="00EC4764" w:rsidRPr="00EC4764">
              <w:rPr>
                <w:sz w:val="24"/>
                <w:szCs w:val="24"/>
                <w:lang w:val="ru-RU"/>
              </w:rPr>
              <w:t xml:space="preserve"> </w:t>
            </w:r>
            <w:r w:rsidRPr="00EC4764">
              <w:rPr>
                <w:sz w:val="24"/>
                <w:szCs w:val="24"/>
                <w:lang w:val="ru-RU"/>
              </w:rPr>
              <w:t>недвижимости</w:t>
            </w:r>
          </w:p>
        </w:tc>
      </w:tr>
      <w:tr w:rsidR="00E73AF7" w:rsidRPr="00E73AF7" w:rsidTr="007F08B6">
        <w:trPr>
          <w:trHeight w:hRule="exact" w:val="660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25</w:t>
            </w:r>
          </w:p>
        </w:tc>
        <w:tc>
          <w:tcPr>
            <w:tcW w:w="9093" w:type="dxa"/>
          </w:tcPr>
          <w:p w:rsidR="00E73AF7" w:rsidRPr="00EC4764" w:rsidRDefault="00E73AF7" w:rsidP="00EC4764">
            <w:pPr>
              <w:pStyle w:val="TableParagraph"/>
              <w:tabs>
                <w:tab w:val="left" w:pos="2093"/>
                <w:tab w:val="left" w:pos="2897"/>
                <w:tab w:val="left" w:pos="3345"/>
                <w:tab w:val="left" w:pos="4316"/>
                <w:tab w:val="left" w:pos="5081"/>
                <w:tab w:val="left" w:pos="6805"/>
                <w:tab w:val="left" w:pos="8549"/>
              </w:tabs>
              <w:spacing w:line="242" w:lineRule="auto"/>
              <w:ind w:right="67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Многократное</w:t>
            </w:r>
            <w:r w:rsidRPr="00EC4764">
              <w:rPr>
                <w:sz w:val="24"/>
                <w:szCs w:val="24"/>
                <w:lang w:val="ru-RU"/>
              </w:rPr>
              <w:tab/>
              <w:t>(три</w:t>
            </w:r>
            <w:r w:rsidRPr="00EC4764">
              <w:rPr>
                <w:sz w:val="24"/>
                <w:szCs w:val="24"/>
                <w:lang w:val="ru-RU"/>
              </w:rPr>
              <w:tab/>
              <w:t>и</w:t>
            </w:r>
            <w:r w:rsidRPr="00EC4764">
              <w:rPr>
                <w:sz w:val="24"/>
                <w:szCs w:val="24"/>
                <w:lang w:val="ru-RU"/>
              </w:rPr>
              <w:tab/>
              <w:t>более</w:t>
            </w:r>
            <w:r w:rsidRPr="00EC4764">
              <w:rPr>
                <w:sz w:val="24"/>
                <w:szCs w:val="24"/>
                <w:lang w:val="ru-RU"/>
              </w:rPr>
              <w:tab/>
              <w:t>раз)</w:t>
            </w:r>
            <w:r w:rsidRPr="00EC4764">
              <w:rPr>
                <w:sz w:val="24"/>
                <w:szCs w:val="24"/>
                <w:lang w:val="ru-RU"/>
              </w:rPr>
              <w:tab/>
              <w:t>совершение</w:t>
            </w:r>
            <w:r w:rsidRPr="00EC4764">
              <w:rPr>
                <w:sz w:val="24"/>
                <w:szCs w:val="24"/>
                <w:lang w:val="ru-RU"/>
              </w:rPr>
              <w:tab/>
              <w:t>физическим</w:t>
            </w:r>
            <w:r w:rsidRPr="00EC4764">
              <w:rPr>
                <w:sz w:val="24"/>
                <w:szCs w:val="24"/>
                <w:lang w:val="ru-RU"/>
              </w:rPr>
              <w:tab/>
              <w:t>или юридическим лицом сделок с одним объектом</w:t>
            </w:r>
            <w:r w:rsidR="00EC4764" w:rsidRPr="00EC4764">
              <w:rPr>
                <w:sz w:val="24"/>
                <w:szCs w:val="24"/>
                <w:lang w:val="ru-RU"/>
              </w:rPr>
              <w:t xml:space="preserve"> </w:t>
            </w:r>
            <w:r w:rsidRPr="00EC4764">
              <w:rPr>
                <w:sz w:val="24"/>
                <w:szCs w:val="24"/>
                <w:lang w:val="ru-RU"/>
              </w:rPr>
              <w:t>недвижимости</w:t>
            </w:r>
          </w:p>
        </w:tc>
      </w:tr>
      <w:tr w:rsidR="00E73AF7" w:rsidRPr="00E73AF7" w:rsidTr="007F08B6">
        <w:trPr>
          <w:trHeight w:hRule="exact" w:val="1304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26</w:t>
            </w:r>
          </w:p>
        </w:tc>
        <w:tc>
          <w:tcPr>
            <w:tcW w:w="9093" w:type="dxa"/>
          </w:tcPr>
          <w:p w:rsidR="00E73AF7" w:rsidRPr="00EC4764" w:rsidRDefault="00E73AF7" w:rsidP="00EC4764">
            <w:pPr>
              <w:pStyle w:val="TableParagraph"/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Использование в качестве средств платежа поддельных расчетных и кредитных банковских карт или иных платежных документов, не являющихся ценными бумагами (поддельные кредитные карты, поддельные бонусные карты, жетоны и т. д.)</w:t>
            </w:r>
          </w:p>
        </w:tc>
      </w:tr>
      <w:tr w:rsidR="00E73AF7" w:rsidRPr="00E73AF7" w:rsidTr="007F08B6">
        <w:trPr>
          <w:trHeight w:hRule="exact" w:val="1625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27</w:t>
            </w:r>
          </w:p>
        </w:tc>
        <w:tc>
          <w:tcPr>
            <w:tcW w:w="9093" w:type="dxa"/>
          </w:tcPr>
          <w:p w:rsidR="00E73AF7" w:rsidRPr="00EC4764" w:rsidRDefault="00E73AF7" w:rsidP="00EC4764">
            <w:pPr>
              <w:pStyle w:val="TableParagraph"/>
              <w:ind w:right="60"/>
              <w:jc w:val="both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 xml:space="preserve">Подозрение на использование в качестве </w:t>
            </w:r>
            <w:proofErr w:type="gramStart"/>
            <w:r w:rsidRPr="00EC4764">
              <w:rPr>
                <w:sz w:val="24"/>
                <w:szCs w:val="24"/>
                <w:lang w:val="ru-RU"/>
              </w:rPr>
              <w:t>средств платежа</w:t>
            </w:r>
            <w:proofErr w:type="gramEnd"/>
            <w:r w:rsidRPr="00EC4764">
              <w:rPr>
                <w:sz w:val="24"/>
                <w:szCs w:val="24"/>
                <w:lang w:val="ru-RU"/>
              </w:rPr>
              <w:t xml:space="preserve"> изъятых из оборота расчетных и кредитных банковских карт или иных платежных документов, не являющихся ценными бумагами (заблокированные владельцами банковские карты, изъятые из оборота бонусные карты игорного заведения)</w:t>
            </w:r>
          </w:p>
        </w:tc>
      </w:tr>
      <w:tr w:rsidR="00E73AF7" w:rsidRPr="00E73AF7" w:rsidTr="007F08B6">
        <w:trPr>
          <w:trHeight w:hRule="exact" w:val="658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28</w:t>
            </w:r>
          </w:p>
        </w:tc>
        <w:tc>
          <w:tcPr>
            <w:tcW w:w="9093" w:type="dxa"/>
          </w:tcPr>
          <w:p w:rsidR="00E73AF7" w:rsidRPr="00EC4764" w:rsidRDefault="00E73AF7" w:rsidP="00EC4764">
            <w:pPr>
              <w:pStyle w:val="TableParagraph"/>
              <w:tabs>
                <w:tab w:val="left" w:pos="8763"/>
              </w:tabs>
              <w:ind w:right="58"/>
              <w:rPr>
                <w:sz w:val="24"/>
                <w:szCs w:val="24"/>
                <w:lang w:val="ru-RU"/>
              </w:rPr>
            </w:pPr>
            <w:proofErr w:type="gramStart"/>
            <w:r w:rsidRPr="00EC4764">
              <w:rPr>
                <w:sz w:val="24"/>
                <w:szCs w:val="24"/>
                <w:lang w:val="ru-RU"/>
              </w:rPr>
              <w:t>Безналичные  денежные</w:t>
            </w:r>
            <w:proofErr w:type="gramEnd"/>
            <w:r w:rsidRPr="00EC4764">
              <w:rPr>
                <w:sz w:val="24"/>
                <w:szCs w:val="24"/>
                <w:lang w:val="ru-RU"/>
              </w:rPr>
              <w:t xml:space="preserve">  переводы  от  организаций  в</w:t>
            </w:r>
            <w:r w:rsidR="00EC4764" w:rsidRPr="00EC4764">
              <w:rPr>
                <w:sz w:val="24"/>
                <w:szCs w:val="24"/>
                <w:lang w:val="ru-RU"/>
              </w:rPr>
              <w:t xml:space="preserve"> </w:t>
            </w:r>
            <w:r w:rsidRPr="00EC4764">
              <w:rPr>
                <w:sz w:val="24"/>
                <w:szCs w:val="24"/>
                <w:lang w:val="ru-RU"/>
              </w:rPr>
              <w:t>качестве</w:t>
            </w:r>
            <w:r w:rsidR="00EC4764" w:rsidRPr="00EC4764">
              <w:rPr>
                <w:sz w:val="24"/>
                <w:szCs w:val="24"/>
                <w:lang w:val="ru-RU"/>
              </w:rPr>
              <w:t xml:space="preserve">        </w:t>
            </w:r>
            <w:r w:rsidRPr="00EC4764">
              <w:rPr>
                <w:sz w:val="24"/>
                <w:szCs w:val="24"/>
                <w:lang w:val="ru-RU"/>
              </w:rPr>
              <w:t>платы</w:t>
            </w:r>
            <w:r w:rsidRPr="00EC4764">
              <w:rPr>
                <w:sz w:val="24"/>
                <w:szCs w:val="24"/>
                <w:lang w:val="ru-RU"/>
              </w:rPr>
              <w:tab/>
              <w:t>за участие  в  игре  на тотализаторе или в букмекерской</w:t>
            </w:r>
            <w:r w:rsidR="00EC4764" w:rsidRPr="00EC4764">
              <w:rPr>
                <w:sz w:val="24"/>
                <w:szCs w:val="24"/>
                <w:lang w:val="ru-RU"/>
              </w:rPr>
              <w:t xml:space="preserve"> </w:t>
            </w:r>
            <w:r w:rsidRPr="00EC4764">
              <w:rPr>
                <w:sz w:val="24"/>
                <w:szCs w:val="24"/>
                <w:lang w:val="ru-RU"/>
              </w:rPr>
              <w:t>конторе</w:t>
            </w:r>
          </w:p>
        </w:tc>
      </w:tr>
      <w:tr w:rsidR="00E73AF7" w:rsidRPr="00E73AF7" w:rsidTr="007F08B6">
        <w:trPr>
          <w:trHeight w:hRule="exact" w:val="982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29</w:t>
            </w:r>
          </w:p>
        </w:tc>
        <w:tc>
          <w:tcPr>
            <w:tcW w:w="9093" w:type="dxa"/>
          </w:tcPr>
          <w:p w:rsidR="00E73AF7" w:rsidRPr="00EC4764" w:rsidRDefault="00E73AF7" w:rsidP="00EC4764">
            <w:pPr>
              <w:pStyle w:val="TableParagraph"/>
              <w:ind w:right="63"/>
              <w:jc w:val="both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 xml:space="preserve">Попытка использования в качестве </w:t>
            </w:r>
            <w:proofErr w:type="gramStart"/>
            <w:r w:rsidRPr="00EC4764">
              <w:rPr>
                <w:sz w:val="24"/>
                <w:szCs w:val="24"/>
                <w:lang w:val="ru-RU"/>
              </w:rPr>
              <w:t>средств  платежа</w:t>
            </w:r>
            <w:proofErr w:type="gramEnd"/>
            <w:r w:rsidRPr="00EC4764">
              <w:rPr>
                <w:sz w:val="24"/>
                <w:szCs w:val="24"/>
                <w:lang w:val="ru-RU"/>
              </w:rPr>
              <w:t xml:space="preserve">  поддельных  банкнот Центрального банка Российской Федерации или иностранной валюты (использование поддельных наличных денежных</w:t>
            </w:r>
            <w:r w:rsidR="00EC4764" w:rsidRPr="00EC4764">
              <w:rPr>
                <w:sz w:val="24"/>
                <w:szCs w:val="24"/>
                <w:lang w:val="ru-RU"/>
              </w:rPr>
              <w:t xml:space="preserve"> </w:t>
            </w:r>
            <w:r w:rsidRPr="00EC4764">
              <w:rPr>
                <w:sz w:val="24"/>
                <w:szCs w:val="24"/>
                <w:lang w:val="ru-RU"/>
              </w:rPr>
              <w:t>средств)</w:t>
            </w:r>
          </w:p>
        </w:tc>
      </w:tr>
      <w:tr w:rsidR="00E73AF7" w:rsidRPr="00E73AF7" w:rsidTr="007F08B6">
        <w:trPr>
          <w:trHeight w:hRule="exact" w:val="658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30</w:t>
            </w:r>
          </w:p>
        </w:tc>
        <w:tc>
          <w:tcPr>
            <w:tcW w:w="9093" w:type="dxa"/>
          </w:tcPr>
          <w:p w:rsidR="00E73AF7" w:rsidRPr="00EC4764" w:rsidRDefault="00E73AF7" w:rsidP="00EC4764">
            <w:pPr>
              <w:pStyle w:val="TableParagraph"/>
              <w:ind w:right="63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Подозрение на предъявление или попытка предъявления поддельных лотерейных билетов при выигрыше</w:t>
            </w:r>
          </w:p>
        </w:tc>
      </w:tr>
      <w:tr w:rsidR="00E73AF7" w:rsidRPr="00E73AF7" w:rsidTr="007F08B6">
        <w:trPr>
          <w:trHeight w:hRule="exact" w:val="660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31</w:t>
            </w:r>
          </w:p>
        </w:tc>
        <w:tc>
          <w:tcPr>
            <w:tcW w:w="9093" w:type="dxa"/>
          </w:tcPr>
          <w:p w:rsidR="00E73AF7" w:rsidRPr="00EC4764" w:rsidRDefault="00E73AF7" w:rsidP="00EC4764">
            <w:pPr>
              <w:pStyle w:val="TableParagraph"/>
              <w:ind w:right="63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Подозрение о подделке документов, используемых при приеме ставок на пари (подделка билетов тотализаторов и букмекерских контор)</w:t>
            </w:r>
          </w:p>
        </w:tc>
      </w:tr>
      <w:tr w:rsidR="00E73AF7" w:rsidRPr="00E73AF7" w:rsidTr="007F08B6">
        <w:trPr>
          <w:trHeight w:hRule="exact" w:val="982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32</w:t>
            </w:r>
          </w:p>
        </w:tc>
        <w:tc>
          <w:tcPr>
            <w:tcW w:w="9093" w:type="dxa"/>
          </w:tcPr>
          <w:p w:rsidR="00E73AF7" w:rsidRPr="00EC4764" w:rsidRDefault="00E73AF7" w:rsidP="00EC4764">
            <w:pPr>
              <w:pStyle w:val="TableParagraph"/>
              <w:ind w:right="67"/>
              <w:jc w:val="both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Подозрение на осуществление сговора между работниками игорного заведения и участником азартной игры или пари о заранее установленном исходе в азартной игре или пари</w:t>
            </w:r>
          </w:p>
        </w:tc>
      </w:tr>
      <w:tr w:rsidR="00E73AF7" w:rsidRPr="00E73AF7" w:rsidTr="007F08B6">
        <w:trPr>
          <w:trHeight w:hRule="exact" w:val="658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9093" w:type="dxa"/>
          </w:tcPr>
          <w:p w:rsidR="00E73AF7" w:rsidRPr="00EC4764" w:rsidRDefault="00E73AF7" w:rsidP="00EC4764">
            <w:pPr>
              <w:pStyle w:val="TableParagraph"/>
              <w:tabs>
                <w:tab w:val="left" w:pos="1695"/>
                <w:tab w:val="left" w:pos="2176"/>
                <w:tab w:val="left" w:pos="4147"/>
                <w:tab w:val="left" w:pos="5488"/>
                <w:tab w:val="left" w:pos="7371"/>
                <w:tab w:val="left" w:pos="7731"/>
              </w:tabs>
              <w:ind w:right="58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Подозрение</w:t>
            </w:r>
            <w:r w:rsidRPr="00EC4764">
              <w:rPr>
                <w:sz w:val="24"/>
                <w:szCs w:val="24"/>
                <w:lang w:val="ru-RU"/>
              </w:rPr>
              <w:tab/>
              <w:t>на</w:t>
            </w:r>
            <w:r w:rsidRPr="00EC4764">
              <w:rPr>
                <w:sz w:val="24"/>
                <w:szCs w:val="24"/>
                <w:lang w:val="ru-RU"/>
              </w:rPr>
              <w:tab/>
              <w:t>использование</w:t>
            </w:r>
            <w:r w:rsidRPr="00EC4764">
              <w:rPr>
                <w:sz w:val="24"/>
                <w:szCs w:val="24"/>
                <w:lang w:val="ru-RU"/>
              </w:rPr>
              <w:tab/>
              <w:t>игроками</w:t>
            </w:r>
            <w:r w:rsidRPr="00EC4764">
              <w:rPr>
                <w:sz w:val="24"/>
                <w:szCs w:val="24"/>
                <w:lang w:val="ru-RU"/>
              </w:rPr>
              <w:tab/>
              <w:t>оборудования</w:t>
            </w:r>
            <w:r w:rsidRPr="00EC4764">
              <w:rPr>
                <w:sz w:val="24"/>
                <w:szCs w:val="24"/>
                <w:lang w:val="ru-RU"/>
              </w:rPr>
              <w:tab/>
              <w:t>и</w:t>
            </w:r>
            <w:r w:rsidRPr="00EC4764">
              <w:rPr>
                <w:sz w:val="24"/>
                <w:szCs w:val="24"/>
                <w:lang w:val="ru-RU"/>
              </w:rPr>
              <w:tab/>
            </w:r>
            <w:r w:rsidRPr="00EC4764">
              <w:rPr>
                <w:spacing w:val="-1"/>
                <w:sz w:val="24"/>
                <w:szCs w:val="24"/>
                <w:lang w:val="ru-RU"/>
              </w:rPr>
              <w:t xml:space="preserve">устройств, </w:t>
            </w:r>
            <w:r w:rsidRPr="00EC4764">
              <w:rPr>
                <w:sz w:val="24"/>
                <w:szCs w:val="24"/>
                <w:lang w:val="ru-RU"/>
              </w:rPr>
              <w:t>заранее определяющих исход в азартной</w:t>
            </w:r>
            <w:r w:rsidR="00EC4764" w:rsidRPr="00EC4764">
              <w:rPr>
                <w:sz w:val="24"/>
                <w:szCs w:val="24"/>
                <w:lang w:val="ru-RU"/>
              </w:rPr>
              <w:t xml:space="preserve"> </w:t>
            </w:r>
            <w:r w:rsidRPr="00EC4764">
              <w:rPr>
                <w:sz w:val="24"/>
                <w:szCs w:val="24"/>
                <w:lang w:val="ru-RU"/>
              </w:rPr>
              <w:t>игре</w:t>
            </w:r>
          </w:p>
        </w:tc>
      </w:tr>
      <w:tr w:rsidR="00E73AF7" w:rsidRPr="00E73AF7" w:rsidTr="007F08B6">
        <w:trPr>
          <w:trHeight w:hRule="exact" w:val="660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34</w:t>
            </w:r>
          </w:p>
        </w:tc>
        <w:tc>
          <w:tcPr>
            <w:tcW w:w="9093" w:type="dxa"/>
          </w:tcPr>
          <w:p w:rsidR="00E73AF7" w:rsidRPr="00EC4764" w:rsidRDefault="00E73AF7" w:rsidP="00EC4764">
            <w:pPr>
              <w:pStyle w:val="TableParagraph"/>
              <w:ind w:right="63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Получение приза в виде денежных средств по результатам розыгрыша призового фонда, сформированного имуществом</w:t>
            </w:r>
          </w:p>
        </w:tc>
      </w:tr>
      <w:tr w:rsidR="00E73AF7" w:rsidRPr="00E73AF7" w:rsidTr="007F08B6">
        <w:trPr>
          <w:trHeight w:hRule="exact" w:val="658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35</w:t>
            </w:r>
          </w:p>
        </w:tc>
        <w:tc>
          <w:tcPr>
            <w:tcW w:w="9093" w:type="dxa"/>
          </w:tcPr>
          <w:p w:rsidR="00E73AF7" w:rsidRPr="00EC4764" w:rsidRDefault="00E73AF7" w:rsidP="00EC4764">
            <w:pPr>
              <w:pStyle w:val="TableParagraph"/>
              <w:tabs>
                <w:tab w:val="left" w:pos="1439"/>
                <w:tab w:val="left" w:pos="3032"/>
                <w:tab w:val="left" w:pos="3502"/>
                <w:tab w:val="left" w:pos="5204"/>
                <w:tab w:val="left" w:pos="6434"/>
                <w:tab w:val="left" w:pos="7048"/>
              </w:tabs>
              <w:ind w:right="67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Выплата</w:t>
            </w:r>
            <w:r w:rsidRPr="00EC4764">
              <w:rPr>
                <w:sz w:val="24"/>
                <w:szCs w:val="24"/>
                <w:lang w:val="ru-RU"/>
              </w:rPr>
              <w:tab/>
              <w:t>выигрыша</w:t>
            </w:r>
            <w:r w:rsidRPr="00EC4764">
              <w:rPr>
                <w:sz w:val="24"/>
                <w:szCs w:val="24"/>
                <w:lang w:val="ru-RU"/>
              </w:rPr>
              <w:tab/>
              <w:t>в</w:t>
            </w:r>
            <w:r w:rsidRPr="00EC4764">
              <w:rPr>
                <w:sz w:val="24"/>
                <w:szCs w:val="24"/>
                <w:lang w:val="ru-RU"/>
              </w:rPr>
              <w:tab/>
              <w:t>розыгрыше</w:t>
            </w:r>
            <w:r w:rsidRPr="00EC4764">
              <w:rPr>
                <w:sz w:val="24"/>
                <w:szCs w:val="24"/>
                <w:lang w:val="ru-RU"/>
              </w:rPr>
              <w:tab/>
              <w:t>призов,</w:t>
            </w:r>
            <w:r w:rsidRPr="00EC4764">
              <w:rPr>
                <w:sz w:val="24"/>
                <w:szCs w:val="24"/>
                <w:lang w:val="ru-RU"/>
              </w:rPr>
              <w:tab/>
              <w:t>не</w:t>
            </w:r>
            <w:r w:rsidRPr="00EC4764">
              <w:rPr>
                <w:sz w:val="24"/>
                <w:szCs w:val="24"/>
                <w:lang w:val="ru-RU"/>
              </w:rPr>
              <w:tab/>
            </w:r>
            <w:r w:rsidRPr="00EC4764">
              <w:rPr>
                <w:spacing w:val="-1"/>
                <w:sz w:val="24"/>
                <w:szCs w:val="24"/>
                <w:lang w:val="ru-RU"/>
              </w:rPr>
              <w:t xml:space="preserve">принадлежащих </w:t>
            </w:r>
            <w:r w:rsidRPr="00EC4764">
              <w:rPr>
                <w:sz w:val="24"/>
                <w:szCs w:val="24"/>
                <w:lang w:val="ru-RU"/>
              </w:rPr>
              <w:t>организатору азартной игры на праве</w:t>
            </w:r>
            <w:r w:rsidR="00EC4764" w:rsidRPr="00EC4764">
              <w:rPr>
                <w:sz w:val="24"/>
                <w:szCs w:val="24"/>
                <w:lang w:val="ru-RU"/>
              </w:rPr>
              <w:t xml:space="preserve"> </w:t>
            </w:r>
            <w:r w:rsidRPr="00EC4764">
              <w:rPr>
                <w:sz w:val="24"/>
                <w:szCs w:val="24"/>
                <w:lang w:val="ru-RU"/>
              </w:rPr>
              <w:t>собственности</w:t>
            </w:r>
          </w:p>
        </w:tc>
      </w:tr>
      <w:tr w:rsidR="00E73AF7" w:rsidRPr="00E73AF7" w:rsidTr="007F08B6">
        <w:trPr>
          <w:trHeight w:hRule="exact" w:val="660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36</w:t>
            </w:r>
          </w:p>
        </w:tc>
        <w:tc>
          <w:tcPr>
            <w:tcW w:w="9093" w:type="dxa"/>
          </w:tcPr>
          <w:p w:rsidR="00E73AF7" w:rsidRPr="00EC4764" w:rsidRDefault="00E73AF7" w:rsidP="00EC4764">
            <w:pPr>
              <w:pStyle w:val="TableParagraph"/>
              <w:tabs>
                <w:tab w:val="left" w:pos="8614"/>
              </w:tabs>
              <w:ind w:right="63"/>
              <w:rPr>
                <w:sz w:val="24"/>
                <w:szCs w:val="24"/>
                <w:lang w:val="ru-RU"/>
              </w:rPr>
            </w:pPr>
            <w:proofErr w:type="gramStart"/>
            <w:r w:rsidRPr="00EC4764">
              <w:rPr>
                <w:sz w:val="24"/>
                <w:szCs w:val="24"/>
                <w:lang w:val="ru-RU"/>
              </w:rPr>
              <w:t>Неоднократное  получение</w:t>
            </w:r>
            <w:proofErr w:type="gramEnd"/>
            <w:r w:rsidRPr="00EC4764">
              <w:rPr>
                <w:sz w:val="24"/>
                <w:szCs w:val="24"/>
                <w:lang w:val="ru-RU"/>
              </w:rPr>
              <w:t xml:space="preserve">  ссуды  под   залог  ювелирных изделий</w:t>
            </w:r>
            <w:r w:rsidRPr="00EC4764">
              <w:rPr>
                <w:sz w:val="24"/>
                <w:szCs w:val="24"/>
                <w:lang w:val="ru-RU"/>
              </w:rPr>
              <w:tab/>
              <w:t>без последующего</w:t>
            </w:r>
            <w:r w:rsidR="00EC4764" w:rsidRPr="00EC4764">
              <w:rPr>
                <w:sz w:val="24"/>
                <w:szCs w:val="24"/>
                <w:lang w:val="ru-RU"/>
              </w:rPr>
              <w:t xml:space="preserve"> </w:t>
            </w:r>
            <w:r w:rsidRPr="00EC4764">
              <w:rPr>
                <w:sz w:val="24"/>
                <w:szCs w:val="24"/>
                <w:lang w:val="ru-RU"/>
              </w:rPr>
              <w:t>выкупа</w:t>
            </w:r>
          </w:p>
        </w:tc>
      </w:tr>
      <w:tr w:rsidR="00E73AF7" w:rsidRPr="00E73AF7" w:rsidTr="007F08B6">
        <w:trPr>
          <w:trHeight w:hRule="exact" w:val="982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37</w:t>
            </w:r>
          </w:p>
        </w:tc>
        <w:tc>
          <w:tcPr>
            <w:tcW w:w="9093" w:type="dxa"/>
          </w:tcPr>
          <w:p w:rsidR="00E73AF7" w:rsidRPr="00EC4764" w:rsidRDefault="00E73AF7" w:rsidP="00EC4764">
            <w:pPr>
              <w:pStyle w:val="TableParagraph"/>
              <w:ind w:right="67"/>
              <w:jc w:val="both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Неоднократное помещение физическим лицом имущества в ломбард, на территории Донецкой Народной Республики, не соответствующего месту регистрации физического лица</w:t>
            </w:r>
          </w:p>
        </w:tc>
      </w:tr>
      <w:tr w:rsidR="00E73AF7" w:rsidRPr="00E73AF7" w:rsidTr="007F08B6">
        <w:trPr>
          <w:trHeight w:hRule="exact" w:val="982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38</w:t>
            </w:r>
          </w:p>
        </w:tc>
        <w:tc>
          <w:tcPr>
            <w:tcW w:w="9093" w:type="dxa"/>
          </w:tcPr>
          <w:p w:rsidR="00E73AF7" w:rsidRPr="00EC4764" w:rsidRDefault="00E73AF7" w:rsidP="00EC4764">
            <w:pPr>
              <w:pStyle w:val="TableParagraph"/>
              <w:ind w:right="69"/>
              <w:jc w:val="both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 xml:space="preserve">Сдача на комиссию, под залог или в скупку ювелирных изделий из драгоценных </w:t>
            </w:r>
            <w:proofErr w:type="gramStart"/>
            <w:r w:rsidRPr="00EC4764">
              <w:rPr>
                <w:sz w:val="24"/>
                <w:szCs w:val="24"/>
                <w:lang w:val="ru-RU"/>
              </w:rPr>
              <w:t>металлов  и</w:t>
            </w:r>
            <w:proofErr w:type="gramEnd"/>
            <w:r w:rsidRPr="00EC4764">
              <w:rPr>
                <w:sz w:val="24"/>
                <w:szCs w:val="24"/>
                <w:lang w:val="ru-RU"/>
              </w:rPr>
              <w:t xml:space="preserve">  драгоценных  камней  с  признаками фальшивых оттисков пробирных клейм</w:t>
            </w:r>
          </w:p>
        </w:tc>
      </w:tr>
      <w:tr w:rsidR="00E73AF7" w:rsidRPr="00E73AF7" w:rsidTr="007F08B6">
        <w:trPr>
          <w:trHeight w:hRule="exact" w:val="982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39</w:t>
            </w:r>
          </w:p>
        </w:tc>
        <w:tc>
          <w:tcPr>
            <w:tcW w:w="9093" w:type="dxa"/>
          </w:tcPr>
          <w:p w:rsidR="00E73AF7" w:rsidRPr="00EC4764" w:rsidRDefault="00E73AF7" w:rsidP="00EC4764">
            <w:pPr>
              <w:pStyle w:val="TableParagraph"/>
              <w:ind w:right="61"/>
              <w:jc w:val="both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Сдача на комиссию, под залог или в скупку ювелирных изделий из драгоценных металлов и драгоценных камней без оттисков пробирных клейм</w:t>
            </w:r>
          </w:p>
        </w:tc>
      </w:tr>
      <w:tr w:rsidR="00E73AF7" w:rsidRPr="00E73AF7" w:rsidTr="007F08B6">
        <w:trPr>
          <w:trHeight w:hRule="exact" w:val="1303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40</w:t>
            </w:r>
          </w:p>
        </w:tc>
        <w:tc>
          <w:tcPr>
            <w:tcW w:w="9093" w:type="dxa"/>
          </w:tcPr>
          <w:p w:rsidR="00E73AF7" w:rsidRPr="00EC4764" w:rsidRDefault="00E73AF7" w:rsidP="00EC4764">
            <w:pPr>
              <w:pStyle w:val="TableParagraph"/>
              <w:ind w:right="63"/>
              <w:jc w:val="both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Систематическая сдача на комиссию, под залог или в скупку физическим лицом нескольких ювелирных изделий и/или однотипных ювелирных изделий либо группой лиц однотипных ювелирных изделий, в том числе имеющих товарные бирки</w:t>
            </w:r>
          </w:p>
        </w:tc>
      </w:tr>
      <w:tr w:rsidR="00E73AF7" w:rsidRPr="00E73AF7" w:rsidTr="007F08B6">
        <w:trPr>
          <w:trHeight w:hRule="exact" w:val="1303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41</w:t>
            </w:r>
          </w:p>
        </w:tc>
        <w:tc>
          <w:tcPr>
            <w:tcW w:w="9093" w:type="dxa"/>
          </w:tcPr>
          <w:p w:rsidR="00E73AF7" w:rsidRPr="00EC4764" w:rsidRDefault="00E73AF7" w:rsidP="00EC4764">
            <w:pPr>
              <w:pStyle w:val="TableParagraph"/>
              <w:ind w:right="66"/>
              <w:jc w:val="both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Систематическое приобретение физическим лицом нескольких ювелирных или других бытовых изделий из драгоценных металлов и/или драгоценных камней (однотипных изделий) и/или сертифицированных драгоценных камней</w:t>
            </w:r>
          </w:p>
        </w:tc>
      </w:tr>
      <w:tr w:rsidR="00E73AF7" w:rsidRPr="00E73AF7" w:rsidTr="007F08B6">
        <w:trPr>
          <w:trHeight w:hRule="exact" w:val="980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42</w:t>
            </w:r>
          </w:p>
        </w:tc>
        <w:tc>
          <w:tcPr>
            <w:tcW w:w="9093" w:type="dxa"/>
          </w:tcPr>
          <w:p w:rsidR="00E73AF7" w:rsidRPr="00EC4764" w:rsidRDefault="00E73AF7" w:rsidP="00EC4764">
            <w:pPr>
              <w:pStyle w:val="TableParagraph"/>
              <w:ind w:right="66"/>
              <w:jc w:val="both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 xml:space="preserve">Перечисление, по поручению клиента, денежных средств за реализованные драгоценные металлы и драгоценные камни, ювелирные изделия из </w:t>
            </w:r>
            <w:proofErr w:type="gramStart"/>
            <w:r w:rsidRPr="00EC4764">
              <w:rPr>
                <w:sz w:val="24"/>
                <w:szCs w:val="24"/>
                <w:lang w:val="ru-RU"/>
              </w:rPr>
              <w:t>них  и</w:t>
            </w:r>
            <w:proofErr w:type="gramEnd"/>
            <w:r w:rsidRPr="00EC4764">
              <w:rPr>
                <w:sz w:val="24"/>
                <w:szCs w:val="24"/>
                <w:lang w:val="ru-RU"/>
              </w:rPr>
              <w:t xml:space="preserve"> лом таких изделий на счета третьих лиц</w:t>
            </w:r>
          </w:p>
        </w:tc>
      </w:tr>
      <w:tr w:rsidR="00E73AF7" w:rsidRPr="00E73AF7" w:rsidTr="007F08B6">
        <w:trPr>
          <w:trHeight w:hRule="exact" w:val="1303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43</w:t>
            </w:r>
          </w:p>
        </w:tc>
        <w:tc>
          <w:tcPr>
            <w:tcW w:w="9093" w:type="dxa"/>
          </w:tcPr>
          <w:p w:rsidR="00E73AF7" w:rsidRPr="00EC4764" w:rsidRDefault="00E73AF7" w:rsidP="00EC4764">
            <w:pPr>
              <w:pStyle w:val="TableParagraph"/>
              <w:ind w:right="63"/>
              <w:jc w:val="both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Предоставление продавцом при купле-продаже стандартных и/или мерных слитков из аффинированных драгоценных металлов вместо оригиналов копий документов о качестве (паспорта или сертификата), а также спецификаций на них</w:t>
            </w:r>
          </w:p>
        </w:tc>
      </w:tr>
      <w:tr w:rsidR="00E73AF7" w:rsidRPr="00E73AF7" w:rsidTr="007F08B6">
        <w:trPr>
          <w:trHeight w:hRule="exact" w:val="1304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44</w:t>
            </w:r>
          </w:p>
        </w:tc>
        <w:tc>
          <w:tcPr>
            <w:tcW w:w="9093" w:type="dxa"/>
          </w:tcPr>
          <w:p w:rsidR="00E73AF7" w:rsidRPr="00EC4764" w:rsidRDefault="00E73AF7" w:rsidP="00EC4764">
            <w:pPr>
              <w:pStyle w:val="TableParagraph"/>
              <w:ind w:right="68"/>
              <w:jc w:val="both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Отклонение стоимости драгоценных металлов, драгоценных камней, ювелирных изделий из них или других бытовых изделий из лома и отходов в рамках договора более чем на 20 процентов в сторону повышения или в сторону понижения от уровня рыночных цен</w:t>
            </w:r>
          </w:p>
        </w:tc>
      </w:tr>
      <w:tr w:rsidR="00E73AF7" w:rsidRPr="00E73AF7" w:rsidTr="007F08B6">
        <w:trPr>
          <w:trHeight w:hRule="exact" w:val="1303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45</w:t>
            </w:r>
          </w:p>
        </w:tc>
        <w:tc>
          <w:tcPr>
            <w:tcW w:w="9093" w:type="dxa"/>
          </w:tcPr>
          <w:p w:rsidR="00E73AF7" w:rsidRPr="00EC4764" w:rsidRDefault="00E73AF7" w:rsidP="00EC4764">
            <w:pPr>
              <w:pStyle w:val="TableParagraph"/>
              <w:ind w:right="67"/>
              <w:jc w:val="both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Реализация продукции (прутьев, стержней, проволоки, пластин, полос, листов и т. п.), произведенной из стандартных и/или мерных слитков аффинированных драгоценных металлов без изменения химического состава</w:t>
            </w:r>
          </w:p>
        </w:tc>
      </w:tr>
      <w:tr w:rsidR="00E73AF7" w:rsidRPr="00E73AF7" w:rsidTr="007F08B6">
        <w:trPr>
          <w:trHeight w:hRule="exact" w:val="1625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9093" w:type="dxa"/>
          </w:tcPr>
          <w:p w:rsidR="00E73AF7" w:rsidRPr="00EC4764" w:rsidRDefault="00E73AF7" w:rsidP="00EC4764">
            <w:pPr>
              <w:pStyle w:val="TableParagraph"/>
              <w:ind w:right="62"/>
              <w:jc w:val="both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 xml:space="preserve">Получение партии (партий) ювелирных и/или других </w:t>
            </w:r>
            <w:proofErr w:type="gramStart"/>
            <w:r w:rsidRPr="00EC4764">
              <w:rPr>
                <w:sz w:val="24"/>
                <w:szCs w:val="24"/>
                <w:lang w:val="ru-RU"/>
              </w:rPr>
              <w:t>бытовых  изделий</w:t>
            </w:r>
            <w:proofErr w:type="gramEnd"/>
            <w:r w:rsidRPr="00EC4764">
              <w:rPr>
                <w:sz w:val="24"/>
                <w:szCs w:val="24"/>
                <w:lang w:val="ru-RU"/>
              </w:rPr>
              <w:t xml:space="preserve">  из драгоценных металлов и драгоценных камней с  возможно фальшивыми оттисками пробирных клейм, с незарегистрированными оттисками </w:t>
            </w:r>
            <w:proofErr w:type="spellStart"/>
            <w:r w:rsidRPr="00EC4764">
              <w:rPr>
                <w:sz w:val="24"/>
                <w:szCs w:val="24"/>
                <w:lang w:val="ru-RU"/>
              </w:rPr>
              <w:t>именников</w:t>
            </w:r>
            <w:proofErr w:type="spellEnd"/>
            <w:r w:rsidRPr="00EC4764">
              <w:rPr>
                <w:sz w:val="24"/>
                <w:szCs w:val="24"/>
                <w:lang w:val="ru-RU"/>
              </w:rPr>
              <w:t xml:space="preserve"> производителей и/или без оттисков государственных пробирных</w:t>
            </w:r>
            <w:r w:rsidR="00EC4764" w:rsidRPr="00EC4764">
              <w:rPr>
                <w:sz w:val="24"/>
                <w:szCs w:val="24"/>
                <w:lang w:val="ru-RU"/>
              </w:rPr>
              <w:t xml:space="preserve"> к</w:t>
            </w:r>
            <w:r w:rsidRPr="00EC4764">
              <w:rPr>
                <w:sz w:val="24"/>
                <w:szCs w:val="24"/>
                <w:lang w:val="ru-RU"/>
              </w:rPr>
              <w:t>лейм</w:t>
            </w:r>
          </w:p>
        </w:tc>
      </w:tr>
      <w:tr w:rsidR="00E73AF7" w:rsidRPr="00E73AF7" w:rsidTr="007F08B6">
        <w:trPr>
          <w:trHeight w:hRule="exact" w:val="1304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47</w:t>
            </w:r>
          </w:p>
        </w:tc>
        <w:tc>
          <w:tcPr>
            <w:tcW w:w="9093" w:type="dxa"/>
          </w:tcPr>
          <w:p w:rsidR="00E73AF7" w:rsidRPr="00EC4764" w:rsidRDefault="00E73AF7" w:rsidP="00EC4764">
            <w:pPr>
              <w:pStyle w:val="TableParagraph"/>
              <w:ind w:right="59"/>
              <w:jc w:val="both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Операции по осуществлению почтовых переводов денежных средств, совершаемые клиентом – юридическим лицом, заключившим договор об осуществлении переводов денежных средств с республиканским органом почтовой связи (филиалом организации)</w:t>
            </w:r>
          </w:p>
        </w:tc>
      </w:tr>
      <w:tr w:rsidR="00E73AF7" w:rsidRPr="00E73AF7" w:rsidTr="007F08B6">
        <w:trPr>
          <w:trHeight w:hRule="exact" w:val="1303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48</w:t>
            </w:r>
          </w:p>
        </w:tc>
        <w:tc>
          <w:tcPr>
            <w:tcW w:w="9093" w:type="dxa"/>
          </w:tcPr>
          <w:p w:rsidR="00E73AF7" w:rsidRPr="00EC4764" w:rsidRDefault="00E73AF7" w:rsidP="00EC4764">
            <w:pPr>
              <w:pStyle w:val="TableParagraph"/>
              <w:ind w:right="61"/>
              <w:jc w:val="both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Характер деятельности клиента – юридического лица, являющегося отправителем почтовых переводов денежных средств, не предполагает постоянного (регулярного) перечисления денежных средств в адрес физических лиц, в том числе посредством почтовых переводов</w:t>
            </w:r>
          </w:p>
        </w:tc>
      </w:tr>
      <w:tr w:rsidR="00E73AF7" w:rsidRPr="00E73AF7" w:rsidTr="007F08B6">
        <w:trPr>
          <w:trHeight w:hRule="exact" w:val="982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49</w:t>
            </w:r>
          </w:p>
        </w:tc>
        <w:tc>
          <w:tcPr>
            <w:tcW w:w="9093" w:type="dxa"/>
          </w:tcPr>
          <w:p w:rsidR="00E73AF7" w:rsidRPr="00EC4764" w:rsidRDefault="00E73AF7" w:rsidP="00EC4764">
            <w:pPr>
              <w:pStyle w:val="TableParagraph"/>
              <w:ind w:right="65"/>
              <w:jc w:val="both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Регулярное несоответствие объема почтовых переводов денежных средств, перечисляемых через республиканский орган почтовой связи (ее структурное подразделение), назначению платежа</w:t>
            </w:r>
          </w:p>
        </w:tc>
      </w:tr>
      <w:tr w:rsidR="00E73AF7" w:rsidRPr="00E73AF7" w:rsidTr="007F08B6">
        <w:trPr>
          <w:trHeight w:hRule="exact" w:val="982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50</w:t>
            </w:r>
          </w:p>
        </w:tc>
        <w:tc>
          <w:tcPr>
            <w:tcW w:w="9093" w:type="dxa"/>
          </w:tcPr>
          <w:p w:rsidR="00E73AF7" w:rsidRPr="00EC4764" w:rsidRDefault="00E73AF7" w:rsidP="00EC4764">
            <w:pPr>
              <w:pStyle w:val="TableParagraph"/>
              <w:ind w:right="63"/>
              <w:jc w:val="both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Неоднократное осуществление почтовых переводов денежных средств одним или несколькими юридическими лицами в адрес одного или нескольких физических лиц в крупных объемах</w:t>
            </w:r>
          </w:p>
        </w:tc>
      </w:tr>
      <w:tr w:rsidR="00E73AF7" w:rsidRPr="00E73AF7" w:rsidTr="007F08B6">
        <w:trPr>
          <w:trHeight w:hRule="exact" w:val="1946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51</w:t>
            </w:r>
          </w:p>
        </w:tc>
        <w:tc>
          <w:tcPr>
            <w:tcW w:w="9093" w:type="dxa"/>
          </w:tcPr>
          <w:p w:rsidR="00E73AF7" w:rsidRPr="00EC4764" w:rsidRDefault="00E73AF7" w:rsidP="00EC4764">
            <w:pPr>
              <w:pStyle w:val="TableParagraph"/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Операции с денежными средствами или иным имуществом (вне зависимости от суммы), если хотя бы одной из сторон является юридическое или физическое лицо, в отношении которого имеются полученные в установленном в соответствии с Временным положением порядке сведения о его причастности к экстремистской деятельности или терроризму</w:t>
            </w:r>
          </w:p>
        </w:tc>
      </w:tr>
      <w:tr w:rsidR="00E73AF7" w:rsidRPr="00E73AF7" w:rsidTr="007F08B6">
        <w:trPr>
          <w:trHeight w:hRule="exact" w:val="982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52</w:t>
            </w:r>
          </w:p>
        </w:tc>
        <w:tc>
          <w:tcPr>
            <w:tcW w:w="9093" w:type="dxa"/>
          </w:tcPr>
          <w:p w:rsidR="00E73AF7" w:rsidRPr="00EC4764" w:rsidRDefault="00E73AF7" w:rsidP="00EC4764">
            <w:pPr>
              <w:pStyle w:val="TableParagraph"/>
              <w:ind w:right="66"/>
              <w:jc w:val="both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Регулярное перечисление платежей финансовому агенту в рамках договора финансирования под уступку денежного требования клиентом или третьими лицами, не являющимися должниками</w:t>
            </w:r>
          </w:p>
        </w:tc>
      </w:tr>
      <w:tr w:rsidR="00E73AF7" w:rsidRPr="00E73AF7" w:rsidTr="007F08B6">
        <w:trPr>
          <w:trHeight w:hRule="exact" w:val="1625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53</w:t>
            </w:r>
          </w:p>
        </w:tc>
        <w:tc>
          <w:tcPr>
            <w:tcW w:w="9093" w:type="dxa"/>
          </w:tcPr>
          <w:p w:rsidR="00E73AF7" w:rsidRPr="00EC4764" w:rsidRDefault="00E73AF7" w:rsidP="00EC4764">
            <w:pPr>
              <w:pStyle w:val="TableParagraph"/>
              <w:ind w:right="60"/>
              <w:jc w:val="both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 xml:space="preserve">Подозрение на предъявление финансовому агенту поддельных документов, свидетельствующих о наличии денежного требования клиента к должнику (договора с должником, документов, </w:t>
            </w:r>
            <w:proofErr w:type="gramStart"/>
            <w:r w:rsidRPr="00EC4764">
              <w:rPr>
                <w:sz w:val="24"/>
                <w:szCs w:val="24"/>
                <w:lang w:val="ru-RU"/>
              </w:rPr>
              <w:t>подтверждающих  поставку</w:t>
            </w:r>
            <w:proofErr w:type="gramEnd"/>
            <w:r w:rsidRPr="00EC4764">
              <w:rPr>
                <w:sz w:val="24"/>
                <w:szCs w:val="24"/>
                <w:lang w:val="ru-RU"/>
              </w:rPr>
              <w:t xml:space="preserve">  товара (накладных, актов), счетов-фактур и  т.д.)</w:t>
            </w:r>
          </w:p>
        </w:tc>
      </w:tr>
      <w:tr w:rsidR="00E73AF7" w:rsidRPr="00E73AF7" w:rsidTr="007F08B6">
        <w:trPr>
          <w:trHeight w:hRule="exact" w:val="338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54</w:t>
            </w:r>
          </w:p>
        </w:tc>
        <w:tc>
          <w:tcPr>
            <w:tcW w:w="9093" w:type="dxa"/>
          </w:tcPr>
          <w:p w:rsidR="00E73AF7" w:rsidRPr="00EC4764" w:rsidRDefault="00E73AF7" w:rsidP="002A363F">
            <w:pPr>
              <w:pStyle w:val="TableParagraph"/>
              <w:spacing w:line="315" w:lineRule="exact"/>
              <w:ind w:right="63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 xml:space="preserve">Иные признаки по усмотрению </w:t>
            </w:r>
            <w:r w:rsidR="002A363F">
              <w:rPr>
                <w:sz w:val="24"/>
                <w:szCs w:val="24"/>
                <w:lang w:val="ru-RU"/>
              </w:rPr>
              <w:t>нотариуса</w:t>
            </w:r>
          </w:p>
        </w:tc>
      </w:tr>
    </w:tbl>
    <w:p w:rsidR="00E73AF7" w:rsidRPr="00E14FDA" w:rsidRDefault="00E73AF7" w:rsidP="00E73AF7">
      <w:pPr>
        <w:pStyle w:val="a5"/>
        <w:rPr>
          <w:sz w:val="20"/>
        </w:rPr>
      </w:pPr>
    </w:p>
    <w:p w:rsidR="00A35ED8" w:rsidRDefault="00A35ED8" w:rsidP="000D1F01">
      <w:pPr>
        <w:shd w:val="clear" w:color="auto" w:fill="FFFFFF"/>
        <w:autoSpaceDE w:val="0"/>
        <w:autoSpaceDN w:val="0"/>
        <w:adjustRightInd w:val="0"/>
        <w:spacing w:before="2"/>
        <w:jc w:val="both"/>
        <w:rPr>
          <w:sz w:val="28"/>
          <w:szCs w:val="28"/>
        </w:rPr>
      </w:pPr>
    </w:p>
    <w:sectPr w:rsidR="00A35ED8" w:rsidSect="000D1F01">
      <w:headerReference w:type="default" r:id="rId8"/>
      <w:footerReference w:type="default" r:id="rId9"/>
      <w:footnotePr>
        <w:numRestart w:val="eachPage"/>
      </w:footnotePr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7DA" w:rsidRDefault="006427DA">
      <w:r>
        <w:separator/>
      </w:r>
    </w:p>
  </w:endnote>
  <w:endnote w:type="continuationSeparator" w:id="0">
    <w:p w:rsidR="006427DA" w:rsidRDefault="0064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CCC" w:rsidRDefault="00854CC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7DA" w:rsidRDefault="006427DA">
      <w:r>
        <w:separator/>
      </w:r>
    </w:p>
  </w:footnote>
  <w:footnote w:type="continuationSeparator" w:id="0">
    <w:p w:rsidR="006427DA" w:rsidRDefault="00642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CCC" w:rsidRDefault="00854CCC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7F08B6">
      <w:rPr>
        <w:noProof/>
      </w:rPr>
      <w:t>5</w:t>
    </w:r>
    <w:r>
      <w:rPr>
        <w:noProof/>
      </w:rPr>
      <w:fldChar w:fldCharType="end"/>
    </w:r>
  </w:p>
  <w:p w:rsidR="00854CCC" w:rsidRDefault="00854CCC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2746"/>
    <w:multiLevelType w:val="multilevel"/>
    <w:tmpl w:val="C71870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0B05E09"/>
    <w:multiLevelType w:val="multilevel"/>
    <w:tmpl w:val="946686B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 w15:restartNumberingAfterBreak="0">
    <w:nsid w:val="15256D2C"/>
    <w:multiLevelType w:val="multilevel"/>
    <w:tmpl w:val="E6BEA7E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1042"/>
        </w:tabs>
        <w:ind w:left="104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66"/>
        </w:tabs>
        <w:ind w:left="276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48"/>
        </w:tabs>
        <w:ind w:left="34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490"/>
        </w:tabs>
        <w:ind w:left="44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2"/>
        </w:tabs>
        <w:ind w:left="517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4"/>
        </w:tabs>
        <w:ind w:left="5854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96"/>
        </w:tabs>
        <w:ind w:left="6896" w:hanging="1440"/>
      </w:pPr>
      <w:rPr>
        <w:rFonts w:cs="Times New Roman" w:hint="default"/>
      </w:rPr>
    </w:lvl>
  </w:abstractNum>
  <w:abstractNum w:abstractNumId="3" w15:restartNumberingAfterBreak="0">
    <w:nsid w:val="25CD5EE4"/>
    <w:multiLevelType w:val="hybridMultilevel"/>
    <w:tmpl w:val="642E9F26"/>
    <w:lvl w:ilvl="0" w:tplc="04190001">
      <w:start w:val="1"/>
      <w:numFmt w:val="bullet"/>
      <w:lvlText w:val=""/>
      <w:lvlJc w:val="left"/>
      <w:pPr>
        <w:tabs>
          <w:tab w:val="num" w:pos="2135"/>
        </w:tabs>
        <w:ind w:left="21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4" w15:restartNumberingAfterBreak="0">
    <w:nsid w:val="2F2D7DFF"/>
    <w:multiLevelType w:val="multilevel"/>
    <w:tmpl w:val="F000F5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01A5DF8"/>
    <w:multiLevelType w:val="multilevel"/>
    <w:tmpl w:val="81B2252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468A56E5"/>
    <w:multiLevelType w:val="multilevel"/>
    <w:tmpl w:val="91DAE2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94B0B81"/>
    <w:multiLevelType w:val="multilevel"/>
    <w:tmpl w:val="179C19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75A5097"/>
    <w:multiLevelType w:val="hybridMultilevel"/>
    <w:tmpl w:val="F202FB18"/>
    <w:lvl w:ilvl="0" w:tplc="87A40F3E">
      <w:numFmt w:val="bullet"/>
      <w:lvlText w:val="-"/>
      <w:lvlJc w:val="left"/>
      <w:pPr>
        <w:ind w:left="652" w:hanging="360"/>
      </w:pPr>
      <w:rPr>
        <w:rFonts w:ascii="Times New Roman" w:eastAsia="Times New Roman" w:hAnsi="Times New Roman" w:hint="default"/>
        <w:spacing w:val="-6"/>
        <w:w w:val="99"/>
        <w:sz w:val="24"/>
      </w:rPr>
    </w:lvl>
    <w:lvl w:ilvl="1" w:tplc="1AEE85CA">
      <w:numFmt w:val="bullet"/>
      <w:lvlText w:val="•"/>
      <w:lvlJc w:val="left"/>
      <w:pPr>
        <w:ind w:left="1636" w:hanging="360"/>
      </w:pPr>
      <w:rPr>
        <w:rFonts w:hint="default"/>
      </w:rPr>
    </w:lvl>
    <w:lvl w:ilvl="2" w:tplc="FABCCB9A"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8B0263BC"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7E16A728"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288A8DBC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0492A276"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0ADC048C">
      <w:numFmt w:val="bullet"/>
      <w:lvlText w:val="•"/>
      <w:lvlJc w:val="left"/>
      <w:pPr>
        <w:ind w:left="7492" w:hanging="360"/>
      </w:pPr>
      <w:rPr>
        <w:rFonts w:hint="default"/>
      </w:rPr>
    </w:lvl>
    <w:lvl w:ilvl="8" w:tplc="B48046EE">
      <w:numFmt w:val="bullet"/>
      <w:lvlText w:val="•"/>
      <w:lvlJc w:val="left"/>
      <w:pPr>
        <w:ind w:left="8468" w:hanging="360"/>
      </w:pPr>
      <w:rPr>
        <w:rFonts w:hint="default"/>
      </w:rPr>
    </w:lvl>
  </w:abstractNum>
  <w:abstractNum w:abstractNumId="9" w15:restartNumberingAfterBreak="0">
    <w:nsid w:val="5B022994"/>
    <w:multiLevelType w:val="multilevel"/>
    <w:tmpl w:val="3E2EEA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F47408F"/>
    <w:multiLevelType w:val="hybridMultilevel"/>
    <w:tmpl w:val="6CC43516"/>
    <w:lvl w:ilvl="0" w:tplc="04190001">
      <w:start w:val="1"/>
      <w:numFmt w:val="bullet"/>
      <w:lvlText w:val=""/>
      <w:lvlJc w:val="left"/>
      <w:pPr>
        <w:tabs>
          <w:tab w:val="num" w:pos="2185"/>
        </w:tabs>
        <w:ind w:left="21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905"/>
        </w:tabs>
        <w:ind w:left="29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25"/>
        </w:tabs>
        <w:ind w:left="36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45"/>
        </w:tabs>
        <w:ind w:left="43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65"/>
        </w:tabs>
        <w:ind w:left="50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85"/>
        </w:tabs>
        <w:ind w:left="57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05"/>
        </w:tabs>
        <w:ind w:left="65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25"/>
        </w:tabs>
        <w:ind w:left="72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45"/>
        </w:tabs>
        <w:ind w:left="7945" w:hanging="360"/>
      </w:pPr>
      <w:rPr>
        <w:rFonts w:ascii="Wingdings" w:hAnsi="Wingdings" w:hint="default"/>
      </w:rPr>
    </w:lvl>
  </w:abstractNum>
  <w:abstractNum w:abstractNumId="11" w15:restartNumberingAfterBreak="0">
    <w:nsid w:val="7BCF0ED8"/>
    <w:multiLevelType w:val="multilevel"/>
    <w:tmpl w:val="3E2EEA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CF75A19"/>
    <w:multiLevelType w:val="multilevel"/>
    <w:tmpl w:val="5CD6E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1"/>
  </w:num>
  <w:num w:numId="8">
    <w:abstractNumId w:val="9"/>
  </w:num>
  <w:num w:numId="9">
    <w:abstractNumId w:val="12"/>
  </w:num>
  <w:num w:numId="10">
    <w:abstractNumId w:val="7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A6"/>
    <w:rsid w:val="00001A67"/>
    <w:rsid w:val="00003BD3"/>
    <w:rsid w:val="00004FA7"/>
    <w:rsid w:val="0000787C"/>
    <w:rsid w:val="000139BE"/>
    <w:rsid w:val="000214FC"/>
    <w:rsid w:val="000230DB"/>
    <w:rsid w:val="00026765"/>
    <w:rsid w:val="00030410"/>
    <w:rsid w:val="0003219A"/>
    <w:rsid w:val="00033D9D"/>
    <w:rsid w:val="000343FC"/>
    <w:rsid w:val="0003578E"/>
    <w:rsid w:val="0004262D"/>
    <w:rsid w:val="000428DB"/>
    <w:rsid w:val="000501ED"/>
    <w:rsid w:val="000545BA"/>
    <w:rsid w:val="00054699"/>
    <w:rsid w:val="00056DB5"/>
    <w:rsid w:val="00057439"/>
    <w:rsid w:val="00057A78"/>
    <w:rsid w:val="00062061"/>
    <w:rsid w:val="00063027"/>
    <w:rsid w:val="000711E5"/>
    <w:rsid w:val="00074803"/>
    <w:rsid w:val="00080E60"/>
    <w:rsid w:val="00082B61"/>
    <w:rsid w:val="000870A1"/>
    <w:rsid w:val="00090D03"/>
    <w:rsid w:val="00094C8B"/>
    <w:rsid w:val="000967A2"/>
    <w:rsid w:val="00096A2D"/>
    <w:rsid w:val="000A16D1"/>
    <w:rsid w:val="000A3758"/>
    <w:rsid w:val="000A5A45"/>
    <w:rsid w:val="000A6CED"/>
    <w:rsid w:val="000A7BD2"/>
    <w:rsid w:val="000B1910"/>
    <w:rsid w:val="000B48E5"/>
    <w:rsid w:val="000B7771"/>
    <w:rsid w:val="000C110F"/>
    <w:rsid w:val="000C24FD"/>
    <w:rsid w:val="000C258D"/>
    <w:rsid w:val="000C5971"/>
    <w:rsid w:val="000D0C65"/>
    <w:rsid w:val="000D1F01"/>
    <w:rsid w:val="000D4219"/>
    <w:rsid w:val="000D7310"/>
    <w:rsid w:val="000E0BB8"/>
    <w:rsid w:val="000E3AAD"/>
    <w:rsid w:val="000E58E2"/>
    <w:rsid w:val="000E5ED6"/>
    <w:rsid w:val="000F3594"/>
    <w:rsid w:val="000F4915"/>
    <w:rsid w:val="0010030E"/>
    <w:rsid w:val="00100C2C"/>
    <w:rsid w:val="00103D84"/>
    <w:rsid w:val="001216EF"/>
    <w:rsid w:val="001319A2"/>
    <w:rsid w:val="001325B0"/>
    <w:rsid w:val="0014467A"/>
    <w:rsid w:val="001449AE"/>
    <w:rsid w:val="00144A4E"/>
    <w:rsid w:val="00144A96"/>
    <w:rsid w:val="00150557"/>
    <w:rsid w:val="00155474"/>
    <w:rsid w:val="00156486"/>
    <w:rsid w:val="0016590B"/>
    <w:rsid w:val="00167EAF"/>
    <w:rsid w:val="0017003D"/>
    <w:rsid w:val="0017083C"/>
    <w:rsid w:val="001765BF"/>
    <w:rsid w:val="001837BF"/>
    <w:rsid w:val="0018798E"/>
    <w:rsid w:val="00194095"/>
    <w:rsid w:val="001957F8"/>
    <w:rsid w:val="001A4874"/>
    <w:rsid w:val="001C1CDC"/>
    <w:rsid w:val="001C4FE8"/>
    <w:rsid w:val="001C5AD3"/>
    <w:rsid w:val="001C690F"/>
    <w:rsid w:val="001D1207"/>
    <w:rsid w:val="001D2AB4"/>
    <w:rsid w:val="001D6219"/>
    <w:rsid w:val="001E024B"/>
    <w:rsid w:val="001E091C"/>
    <w:rsid w:val="001F2BF0"/>
    <w:rsid w:val="001F3621"/>
    <w:rsid w:val="001F39AC"/>
    <w:rsid w:val="001F62C3"/>
    <w:rsid w:val="00200AE4"/>
    <w:rsid w:val="002025D6"/>
    <w:rsid w:val="00206430"/>
    <w:rsid w:val="002122F9"/>
    <w:rsid w:val="002131A3"/>
    <w:rsid w:val="00213928"/>
    <w:rsid w:val="002178FF"/>
    <w:rsid w:val="00223769"/>
    <w:rsid w:val="00224C7D"/>
    <w:rsid w:val="00227F04"/>
    <w:rsid w:val="00230A7C"/>
    <w:rsid w:val="002317F6"/>
    <w:rsid w:val="00236897"/>
    <w:rsid w:val="002379F6"/>
    <w:rsid w:val="00255C6A"/>
    <w:rsid w:val="002562BC"/>
    <w:rsid w:val="00256F34"/>
    <w:rsid w:val="00257720"/>
    <w:rsid w:val="002670C2"/>
    <w:rsid w:val="002709D1"/>
    <w:rsid w:val="002724FF"/>
    <w:rsid w:val="00276389"/>
    <w:rsid w:val="00277CF2"/>
    <w:rsid w:val="00282D5F"/>
    <w:rsid w:val="00290BCA"/>
    <w:rsid w:val="00291B30"/>
    <w:rsid w:val="002A1532"/>
    <w:rsid w:val="002A363F"/>
    <w:rsid w:val="002B2E0D"/>
    <w:rsid w:val="002B344E"/>
    <w:rsid w:val="002B3A98"/>
    <w:rsid w:val="002B658B"/>
    <w:rsid w:val="002C14BE"/>
    <w:rsid w:val="002D20FB"/>
    <w:rsid w:val="002D2C04"/>
    <w:rsid w:val="002E0A2E"/>
    <w:rsid w:val="002E2585"/>
    <w:rsid w:val="002F11A7"/>
    <w:rsid w:val="002F52DC"/>
    <w:rsid w:val="002F5A46"/>
    <w:rsid w:val="00301422"/>
    <w:rsid w:val="00322FCB"/>
    <w:rsid w:val="00325CF8"/>
    <w:rsid w:val="00332ADB"/>
    <w:rsid w:val="00332DF3"/>
    <w:rsid w:val="0033624B"/>
    <w:rsid w:val="00352B9B"/>
    <w:rsid w:val="00353F5B"/>
    <w:rsid w:val="00354055"/>
    <w:rsid w:val="00354D1D"/>
    <w:rsid w:val="00356102"/>
    <w:rsid w:val="003616A6"/>
    <w:rsid w:val="00364198"/>
    <w:rsid w:val="00370DAC"/>
    <w:rsid w:val="0037149E"/>
    <w:rsid w:val="003733CB"/>
    <w:rsid w:val="0037497A"/>
    <w:rsid w:val="00390507"/>
    <w:rsid w:val="003907F6"/>
    <w:rsid w:val="00391527"/>
    <w:rsid w:val="003A05AD"/>
    <w:rsid w:val="003A273D"/>
    <w:rsid w:val="003B5D64"/>
    <w:rsid w:val="003C0155"/>
    <w:rsid w:val="003C0F16"/>
    <w:rsid w:val="003C459B"/>
    <w:rsid w:val="003D6A7C"/>
    <w:rsid w:val="003E42BF"/>
    <w:rsid w:val="003E480D"/>
    <w:rsid w:val="003F0871"/>
    <w:rsid w:val="003F47B9"/>
    <w:rsid w:val="003F544B"/>
    <w:rsid w:val="00400C95"/>
    <w:rsid w:val="00410E19"/>
    <w:rsid w:val="00411C82"/>
    <w:rsid w:val="0041332F"/>
    <w:rsid w:val="004138F3"/>
    <w:rsid w:val="00427191"/>
    <w:rsid w:val="00430044"/>
    <w:rsid w:val="00431515"/>
    <w:rsid w:val="004337A3"/>
    <w:rsid w:val="004366EA"/>
    <w:rsid w:val="00446049"/>
    <w:rsid w:val="0044715D"/>
    <w:rsid w:val="00452085"/>
    <w:rsid w:val="00460487"/>
    <w:rsid w:val="00463DDE"/>
    <w:rsid w:val="004678AE"/>
    <w:rsid w:val="0047104C"/>
    <w:rsid w:val="004A5DE0"/>
    <w:rsid w:val="004B0B54"/>
    <w:rsid w:val="004B4B6A"/>
    <w:rsid w:val="004B6206"/>
    <w:rsid w:val="004C07AD"/>
    <w:rsid w:val="004C2447"/>
    <w:rsid w:val="004D28A4"/>
    <w:rsid w:val="004E089C"/>
    <w:rsid w:val="004E1BA1"/>
    <w:rsid w:val="004E583F"/>
    <w:rsid w:val="004E72A3"/>
    <w:rsid w:val="0050520F"/>
    <w:rsid w:val="00506F87"/>
    <w:rsid w:val="0051068C"/>
    <w:rsid w:val="005112EA"/>
    <w:rsid w:val="00513C12"/>
    <w:rsid w:val="00514279"/>
    <w:rsid w:val="00516CDB"/>
    <w:rsid w:val="00522BE2"/>
    <w:rsid w:val="0052330C"/>
    <w:rsid w:val="00524AFC"/>
    <w:rsid w:val="00525751"/>
    <w:rsid w:val="00527792"/>
    <w:rsid w:val="00527E51"/>
    <w:rsid w:val="005320C7"/>
    <w:rsid w:val="005332AF"/>
    <w:rsid w:val="00534D3C"/>
    <w:rsid w:val="005371EF"/>
    <w:rsid w:val="00542EA4"/>
    <w:rsid w:val="0055276E"/>
    <w:rsid w:val="0055380D"/>
    <w:rsid w:val="0055500D"/>
    <w:rsid w:val="0056022E"/>
    <w:rsid w:val="0056036C"/>
    <w:rsid w:val="005607E6"/>
    <w:rsid w:val="00560F13"/>
    <w:rsid w:val="00561C07"/>
    <w:rsid w:val="005633CF"/>
    <w:rsid w:val="00566F21"/>
    <w:rsid w:val="00583310"/>
    <w:rsid w:val="00587E3E"/>
    <w:rsid w:val="00595843"/>
    <w:rsid w:val="00596DF7"/>
    <w:rsid w:val="005A2E75"/>
    <w:rsid w:val="005A7BA5"/>
    <w:rsid w:val="005B0C40"/>
    <w:rsid w:val="005B5376"/>
    <w:rsid w:val="005D024A"/>
    <w:rsid w:val="005E0E52"/>
    <w:rsid w:val="005E199C"/>
    <w:rsid w:val="005E30C1"/>
    <w:rsid w:val="005E33BA"/>
    <w:rsid w:val="005E7810"/>
    <w:rsid w:val="005F0823"/>
    <w:rsid w:val="005F0CCC"/>
    <w:rsid w:val="005F2264"/>
    <w:rsid w:val="0060168B"/>
    <w:rsid w:val="0060267E"/>
    <w:rsid w:val="006031C0"/>
    <w:rsid w:val="00603B4F"/>
    <w:rsid w:val="00612291"/>
    <w:rsid w:val="00615DA3"/>
    <w:rsid w:val="0062124F"/>
    <w:rsid w:val="00624AAD"/>
    <w:rsid w:val="00625155"/>
    <w:rsid w:val="006328C0"/>
    <w:rsid w:val="00633A93"/>
    <w:rsid w:val="006347A6"/>
    <w:rsid w:val="006427DA"/>
    <w:rsid w:val="00643AF5"/>
    <w:rsid w:val="00643DB0"/>
    <w:rsid w:val="0064751D"/>
    <w:rsid w:val="006566C2"/>
    <w:rsid w:val="0066097E"/>
    <w:rsid w:val="006626E0"/>
    <w:rsid w:val="00665076"/>
    <w:rsid w:val="006659AA"/>
    <w:rsid w:val="00666589"/>
    <w:rsid w:val="006720F5"/>
    <w:rsid w:val="0067373D"/>
    <w:rsid w:val="0067672F"/>
    <w:rsid w:val="006831C7"/>
    <w:rsid w:val="00683CFC"/>
    <w:rsid w:val="006932A8"/>
    <w:rsid w:val="0069369E"/>
    <w:rsid w:val="0069502A"/>
    <w:rsid w:val="006965B9"/>
    <w:rsid w:val="00697AA8"/>
    <w:rsid w:val="006A2964"/>
    <w:rsid w:val="006A4749"/>
    <w:rsid w:val="006B0B81"/>
    <w:rsid w:val="006B7283"/>
    <w:rsid w:val="006B7573"/>
    <w:rsid w:val="006C2724"/>
    <w:rsid w:val="006C32FD"/>
    <w:rsid w:val="006C5726"/>
    <w:rsid w:val="006D00BB"/>
    <w:rsid w:val="006D431B"/>
    <w:rsid w:val="006D4622"/>
    <w:rsid w:val="006E07FD"/>
    <w:rsid w:val="006E1B94"/>
    <w:rsid w:val="006E225C"/>
    <w:rsid w:val="006F7025"/>
    <w:rsid w:val="006F79DC"/>
    <w:rsid w:val="00705056"/>
    <w:rsid w:val="00711746"/>
    <w:rsid w:val="00716B37"/>
    <w:rsid w:val="007236F3"/>
    <w:rsid w:val="00724797"/>
    <w:rsid w:val="007278AA"/>
    <w:rsid w:val="00727A64"/>
    <w:rsid w:val="007361BC"/>
    <w:rsid w:val="007371D1"/>
    <w:rsid w:val="007373F1"/>
    <w:rsid w:val="00740336"/>
    <w:rsid w:val="00740F1C"/>
    <w:rsid w:val="007633E1"/>
    <w:rsid w:val="007641CD"/>
    <w:rsid w:val="00765D3B"/>
    <w:rsid w:val="007667D2"/>
    <w:rsid w:val="00766F92"/>
    <w:rsid w:val="00767542"/>
    <w:rsid w:val="00775656"/>
    <w:rsid w:val="00783EE1"/>
    <w:rsid w:val="00785DC7"/>
    <w:rsid w:val="00786A13"/>
    <w:rsid w:val="00791333"/>
    <w:rsid w:val="0079204F"/>
    <w:rsid w:val="007A088A"/>
    <w:rsid w:val="007A1B32"/>
    <w:rsid w:val="007B0F65"/>
    <w:rsid w:val="007B1865"/>
    <w:rsid w:val="007B2006"/>
    <w:rsid w:val="007B22FA"/>
    <w:rsid w:val="007B2529"/>
    <w:rsid w:val="007B62BC"/>
    <w:rsid w:val="007C3CFB"/>
    <w:rsid w:val="007D5FF3"/>
    <w:rsid w:val="007D6CBD"/>
    <w:rsid w:val="007D7B91"/>
    <w:rsid w:val="007E1F98"/>
    <w:rsid w:val="007E3091"/>
    <w:rsid w:val="007E681C"/>
    <w:rsid w:val="007F08B6"/>
    <w:rsid w:val="007F2612"/>
    <w:rsid w:val="007F424C"/>
    <w:rsid w:val="007F46C1"/>
    <w:rsid w:val="007F7A8D"/>
    <w:rsid w:val="007F7D16"/>
    <w:rsid w:val="00800F86"/>
    <w:rsid w:val="00813747"/>
    <w:rsid w:val="00820A03"/>
    <w:rsid w:val="008226D2"/>
    <w:rsid w:val="0082749A"/>
    <w:rsid w:val="0083369A"/>
    <w:rsid w:val="008369C7"/>
    <w:rsid w:val="00837448"/>
    <w:rsid w:val="00843693"/>
    <w:rsid w:val="008506AD"/>
    <w:rsid w:val="00851CB9"/>
    <w:rsid w:val="00852290"/>
    <w:rsid w:val="00854CCC"/>
    <w:rsid w:val="0085752A"/>
    <w:rsid w:val="00857E3B"/>
    <w:rsid w:val="00881BA5"/>
    <w:rsid w:val="00897A41"/>
    <w:rsid w:val="008A2361"/>
    <w:rsid w:val="008A34AD"/>
    <w:rsid w:val="008B2134"/>
    <w:rsid w:val="008C0AEA"/>
    <w:rsid w:val="008C7100"/>
    <w:rsid w:val="008D066C"/>
    <w:rsid w:val="008F7A0F"/>
    <w:rsid w:val="00901CE3"/>
    <w:rsid w:val="00903D03"/>
    <w:rsid w:val="009050D6"/>
    <w:rsid w:val="009125AB"/>
    <w:rsid w:val="00920C0B"/>
    <w:rsid w:val="00922054"/>
    <w:rsid w:val="0092344E"/>
    <w:rsid w:val="00924841"/>
    <w:rsid w:val="00931460"/>
    <w:rsid w:val="00932487"/>
    <w:rsid w:val="00934CD1"/>
    <w:rsid w:val="00944D74"/>
    <w:rsid w:val="00945EBC"/>
    <w:rsid w:val="00947959"/>
    <w:rsid w:val="009520CD"/>
    <w:rsid w:val="00952875"/>
    <w:rsid w:val="00953FB5"/>
    <w:rsid w:val="0096740C"/>
    <w:rsid w:val="0097106B"/>
    <w:rsid w:val="0097172E"/>
    <w:rsid w:val="009717EF"/>
    <w:rsid w:val="00973EC3"/>
    <w:rsid w:val="00975CEF"/>
    <w:rsid w:val="00977CA2"/>
    <w:rsid w:val="00984817"/>
    <w:rsid w:val="00984B5C"/>
    <w:rsid w:val="00995CE7"/>
    <w:rsid w:val="009A1D57"/>
    <w:rsid w:val="009A5332"/>
    <w:rsid w:val="009B036C"/>
    <w:rsid w:val="009B25CC"/>
    <w:rsid w:val="009B32EA"/>
    <w:rsid w:val="009B399A"/>
    <w:rsid w:val="009B55D5"/>
    <w:rsid w:val="009B5EDD"/>
    <w:rsid w:val="009B7F30"/>
    <w:rsid w:val="009C01CF"/>
    <w:rsid w:val="009C3643"/>
    <w:rsid w:val="009C3891"/>
    <w:rsid w:val="009D7F1A"/>
    <w:rsid w:val="009E08E4"/>
    <w:rsid w:val="009E1E69"/>
    <w:rsid w:val="009E394A"/>
    <w:rsid w:val="009E5723"/>
    <w:rsid w:val="009F1DD1"/>
    <w:rsid w:val="009F4748"/>
    <w:rsid w:val="009F5F94"/>
    <w:rsid w:val="009F75FA"/>
    <w:rsid w:val="009F7F7D"/>
    <w:rsid w:val="00A012A7"/>
    <w:rsid w:val="00A05DC5"/>
    <w:rsid w:val="00A068E9"/>
    <w:rsid w:val="00A06A11"/>
    <w:rsid w:val="00A130B5"/>
    <w:rsid w:val="00A13F02"/>
    <w:rsid w:val="00A17713"/>
    <w:rsid w:val="00A2125E"/>
    <w:rsid w:val="00A22A1D"/>
    <w:rsid w:val="00A22DB2"/>
    <w:rsid w:val="00A23DCF"/>
    <w:rsid w:val="00A26D15"/>
    <w:rsid w:val="00A309FA"/>
    <w:rsid w:val="00A3160F"/>
    <w:rsid w:val="00A35E52"/>
    <w:rsid w:val="00A35ED8"/>
    <w:rsid w:val="00A37241"/>
    <w:rsid w:val="00A45EE2"/>
    <w:rsid w:val="00A461CD"/>
    <w:rsid w:val="00A46DF2"/>
    <w:rsid w:val="00A50C59"/>
    <w:rsid w:val="00A5672A"/>
    <w:rsid w:val="00A57642"/>
    <w:rsid w:val="00A57FB2"/>
    <w:rsid w:val="00A61141"/>
    <w:rsid w:val="00A61895"/>
    <w:rsid w:val="00A62EB5"/>
    <w:rsid w:val="00A7017A"/>
    <w:rsid w:val="00A733A2"/>
    <w:rsid w:val="00A77A01"/>
    <w:rsid w:val="00A77D76"/>
    <w:rsid w:val="00A8312B"/>
    <w:rsid w:val="00A8699C"/>
    <w:rsid w:val="00AA0618"/>
    <w:rsid w:val="00AA13B0"/>
    <w:rsid w:val="00AA57CD"/>
    <w:rsid w:val="00AB143E"/>
    <w:rsid w:val="00AB3C28"/>
    <w:rsid w:val="00AB6152"/>
    <w:rsid w:val="00AC46A3"/>
    <w:rsid w:val="00AD0F83"/>
    <w:rsid w:val="00AD2C61"/>
    <w:rsid w:val="00AD3415"/>
    <w:rsid w:val="00AE48BA"/>
    <w:rsid w:val="00AF67E9"/>
    <w:rsid w:val="00AF6EE2"/>
    <w:rsid w:val="00B015AC"/>
    <w:rsid w:val="00B07C4A"/>
    <w:rsid w:val="00B11B16"/>
    <w:rsid w:val="00B23812"/>
    <w:rsid w:val="00B32692"/>
    <w:rsid w:val="00B339AA"/>
    <w:rsid w:val="00B33E68"/>
    <w:rsid w:val="00B40A6E"/>
    <w:rsid w:val="00B45A3D"/>
    <w:rsid w:val="00B53A26"/>
    <w:rsid w:val="00B53A33"/>
    <w:rsid w:val="00B57412"/>
    <w:rsid w:val="00B62F3C"/>
    <w:rsid w:val="00B77D0C"/>
    <w:rsid w:val="00B80A7A"/>
    <w:rsid w:val="00B83EB4"/>
    <w:rsid w:val="00B84C37"/>
    <w:rsid w:val="00B91087"/>
    <w:rsid w:val="00B91A9C"/>
    <w:rsid w:val="00B93BB1"/>
    <w:rsid w:val="00B95795"/>
    <w:rsid w:val="00BA32CD"/>
    <w:rsid w:val="00BA4058"/>
    <w:rsid w:val="00BA67BF"/>
    <w:rsid w:val="00BB0CD0"/>
    <w:rsid w:val="00BB61BE"/>
    <w:rsid w:val="00BB70CD"/>
    <w:rsid w:val="00BC25FF"/>
    <w:rsid w:val="00BD0640"/>
    <w:rsid w:val="00BD3896"/>
    <w:rsid w:val="00BF4FDA"/>
    <w:rsid w:val="00BF7BD4"/>
    <w:rsid w:val="00C04A47"/>
    <w:rsid w:val="00C05B1B"/>
    <w:rsid w:val="00C07D5D"/>
    <w:rsid w:val="00C1316E"/>
    <w:rsid w:val="00C150D8"/>
    <w:rsid w:val="00C1597F"/>
    <w:rsid w:val="00C17AB5"/>
    <w:rsid w:val="00C20431"/>
    <w:rsid w:val="00C236E0"/>
    <w:rsid w:val="00C2659F"/>
    <w:rsid w:val="00C27899"/>
    <w:rsid w:val="00C3093F"/>
    <w:rsid w:val="00C3298F"/>
    <w:rsid w:val="00C50A8B"/>
    <w:rsid w:val="00C5640A"/>
    <w:rsid w:val="00C618AE"/>
    <w:rsid w:val="00C718E3"/>
    <w:rsid w:val="00C71F55"/>
    <w:rsid w:val="00C74A0E"/>
    <w:rsid w:val="00C77185"/>
    <w:rsid w:val="00C814BD"/>
    <w:rsid w:val="00C82687"/>
    <w:rsid w:val="00C86B32"/>
    <w:rsid w:val="00CA0545"/>
    <w:rsid w:val="00CA0CF9"/>
    <w:rsid w:val="00CA3925"/>
    <w:rsid w:val="00CA6C3A"/>
    <w:rsid w:val="00CA6F26"/>
    <w:rsid w:val="00CB0DAB"/>
    <w:rsid w:val="00CB15C8"/>
    <w:rsid w:val="00CB182E"/>
    <w:rsid w:val="00CB2E20"/>
    <w:rsid w:val="00CB75D0"/>
    <w:rsid w:val="00CC1D4F"/>
    <w:rsid w:val="00CD351E"/>
    <w:rsid w:val="00CE2629"/>
    <w:rsid w:val="00D01E37"/>
    <w:rsid w:val="00D104AA"/>
    <w:rsid w:val="00D15333"/>
    <w:rsid w:val="00D15B6B"/>
    <w:rsid w:val="00D301D0"/>
    <w:rsid w:val="00D31CA6"/>
    <w:rsid w:val="00D3556F"/>
    <w:rsid w:val="00D359FD"/>
    <w:rsid w:val="00D35F89"/>
    <w:rsid w:val="00D43E7A"/>
    <w:rsid w:val="00D4632E"/>
    <w:rsid w:val="00D46C69"/>
    <w:rsid w:val="00D52915"/>
    <w:rsid w:val="00D52A07"/>
    <w:rsid w:val="00D575B6"/>
    <w:rsid w:val="00D61ADF"/>
    <w:rsid w:val="00D63401"/>
    <w:rsid w:val="00D652C2"/>
    <w:rsid w:val="00D657BC"/>
    <w:rsid w:val="00D76146"/>
    <w:rsid w:val="00D76599"/>
    <w:rsid w:val="00D770D9"/>
    <w:rsid w:val="00D8299D"/>
    <w:rsid w:val="00D830C4"/>
    <w:rsid w:val="00D90E8F"/>
    <w:rsid w:val="00D94DAC"/>
    <w:rsid w:val="00DA29C5"/>
    <w:rsid w:val="00DA78D3"/>
    <w:rsid w:val="00DB30EC"/>
    <w:rsid w:val="00DC0F73"/>
    <w:rsid w:val="00DC41DC"/>
    <w:rsid w:val="00DC76DF"/>
    <w:rsid w:val="00DC773C"/>
    <w:rsid w:val="00DD11CA"/>
    <w:rsid w:val="00DD7C7D"/>
    <w:rsid w:val="00DE03D5"/>
    <w:rsid w:val="00DE2254"/>
    <w:rsid w:val="00DE2DEC"/>
    <w:rsid w:val="00DE7681"/>
    <w:rsid w:val="00DF19A6"/>
    <w:rsid w:val="00DF2E5E"/>
    <w:rsid w:val="00DF46DB"/>
    <w:rsid w:val="00E01E2D"/>
    <w:rsid w:val="00E02E2B"/>
    <w:rsid w:val="00E06699"/>
    <w:rsid w:val="00E11B45"/>
    <w:rsid w:val="00E14BA6"/>
    <w:rsid w:val="00E14FDA"/>
    <w:rsid w:val="00E1519A"/>
    <w:rsid w:val="00E1521B"/>
    <w:rsid w:val="00E22499"/>
    <w:rsid w:val="00E34055"/>
    <w:rsid w:val="00E34E91"/>
    <w:rsid w:val="00E35349"/>
    <w:rsid w:val="00E35ECC"/>
    <w:rsid w:val="00E36D8C"/>
    <w:rsid w:val="00E45A32"/>
    <w:rsid w:val="00E46BBB"/>
    <w:rsid w:val="00E620C3"/>
    <w:rsid w:val="00E628B5"/>
    <w:rsid w:val="00E73AF7"/>
    <w:rsid w:val="00E758F9"/>
    <w:rsid w:val="00E83412"/>
    <w:rsid w:val="00E85737"/>
    <w:rsid w:val="00E91414"/>
    <w:rsid w:val="00E9648D"/>
    <w:rsid w:val="00EA5ABB"/>
    <w:rsid w:val="00EA6242"/>
    <w:rsid w:val="00EB7A28"/>
    <w:rsid w:val="00EC4764"/>
    <w:rsid w:val="00EC7821"/>
    <w:rsid w:val="00ED4EDB"/>
    <w:rsid w:val="00ED5408"/>
    <w:rsid w:val="00EE0CD7"/>
    <w:rsid w:val="00EE33F8"/>
    <w:rsid w:val="00EE61DC"/>
    <w:rsid w:val="00EF2022"/>
    <w:rsid w:val="00F00354"/>
    <w:rsid w:val="00F01626"/>
    <w:rsid w:val="00F04551"/>
    <w:rsid w:val="00F04923"/>
    <w:rsid w:val="00F10812"/>
    <w:rsid w:val="00F17876"/>
    <w:rsid w:val="00F205B4"/>
    <w:rsid w:val="00F22812"/>
    <w:rsid w:val="00F26F77"/>
    <w:rsid w:val="00F27478"/>
    <w:rsid w:val="00F27D90"/>
    <w:rsid w:val="00F309E0"/>
    <w:rsid w:val="00F41384"/>
    <w:rsid w:val="00F41EBB"/>
    <w:rsid w:val="00F45A0F"/>
    <w:rsid w:val="00F5079E"/>
    <w:rsid w:val="00F52C6B"/>
    <w:rsid w:val="00F564CB"/>
    <w:rsid w:val="00F634BC"/>
    <w:rsid w:val="00F63F96"/>
    <w:rsid w:val="00F66463"/>
    <w:rsid w:val="00F81721"/>
    <w:rsid w:val="00F84C80"/>
    <w:rsid w:val="00F90F50"/>
    <w:rsid w:val="00F92BD9"/>
    <w:rsid w:val="00F9316B"/>
    <w:rsid w:val="00F9551C"/>
    <w:rsid w:val="00FA0938"/>
    <w:rsid w:val="00FA0E12"/>
    <w:rsid w:val="00FA6DCE"/>
    <w:rsid w:val="00FA74C3"/>
    <w:rsid w:val="00FC1B48"/>
    <w:rsid w:val="00FC50B4"/>
    <w:rsid w:val="00FC7548"/>
    <w:rsid w:val="00FE3A9E"/>
    <w:rsid w:val="00FE71BD"/>
    <w:rsid w:val="00FE71C5"/>
    <w:rsid w:val="00FF0DD7"/>
    <w:rsid w:val="00FF349B"/>
    <w:rsid w:val="00FF5B1C"/>
    <w:rsid w:val="00FF6783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4D0FD7"/>
  <w15:docId w15:val="{06CED847-FAAC-48D3-9A60-777A587C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C0AE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5A3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57439"/>
    <w:pPr>
      <w:keepNext/>
      <w:ind w:firstLine="708"/>
      <w:jc w:val="both"/>
      <w:outlineLvl w:val="2"/>
    </w:pPr>
    <w:rPr>
      <w:b/>
      <w:bCs/>
      <w:color w:val="000000"/>
      <w:spacing w:val="-2"/>
      <w:w w:val="10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44D74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5A3D"/>
    <w:rPr>
      <w:rFonts w:ascii="Cambria" w:hAnsi="Cambria" w:cs="Times New Roman"/>
      <w:b/>
      <w:color w:val="365F91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057439"/>
    <w:rPr>
      <w:rFonts w:cs="Times New Roman"/>
      <w:b/>
      <w:color w:val="000000"/>
      <w:spacing w:val="-2"/>
      <w:w w:val="101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44D74"/>
    <w:rPr>
      <w:rFonts w:ascii="Cambria" w:hAnsi="Cambria" w:cs="Times New Roman"/>
      <w:b/>
      <w:i/>
      <w:color w:val="4F81BD"/>
      <w:sz w:val="24"/>
    </w:rPr>
  </w:style>
  <w:style w:type="paragraph" w:styleId="a3">
    <w:name w:val="Document Map"/>
    <w:basedOn w:val="a"/>
    <w:link w:val="a4"/>
    <w:uiPriority w:val="99"/>
    <w:semiHidden/>
    <w:rsid w:val="00765D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2317F6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57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semiHidden/>
    <w:rsid w:val="000D4219"/>
    <w:pPr>
      <w:shd w:val="clear" w:color="auto" w:fill="FFFFFF"/>
      <w:autoSpaceDE w:val="0"/>
      <w:autoSpaceDN w:val="0"/>
      <w:adjustRightInd w:val="0"/>
      <w:jc w:val="both"/>
    </w:pPr>
    <w:rPr>
      <w:b/>
      <w:bCs/>
      <w:color w:val="000000"/>
      <w:sz w:val="25"/>
      <w:szCs w:val="25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317F6"/>
    <w:rPr>
      <w:rFonts w:cs="Times New Roman"/>
      <w:sz w:val="24"/>
    </w:rPr>
  </w:style>
  <w:style w:type="paragraph" w:styleId="2">
    <w:name w:val="Body Text 2"/>
    <w:basedOn w:val="a"/>
    <w:link w:val="20"/>
    <w:uiPriority w:val="99"/>
    <w:semiHidden/>
    <w:rsid w:val="000D4219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317F6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semiHidden/>
    <w:rsid w:val="000D4219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5"/>
      <w:szCs w:val="25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2317F6"/>
    <w:rPr>
      <w:rFonts w:cs="Times New Roman"/>
      <w:sz w:val="24"/>
    </w:rPr>
  </w:style>
  <w:style w:type="paragraph" w:styleId="31">
    <w:name w:val="Body Text 3"/>
    <w:basedOn w:val="a"/>
    <w:link w:val="32"/>
    <w:uiPriority w:val="99"/>
    <w:semiHidden/>
    <w:rsid w:val="000D4219"/>
    <w:pPr>
      <w:shd w:val="clear" w:color="auto" w:fill="FFFFFF"/>
      <w:autoSpaceDE w:val="0"/>
      <w:autoSpaceDN w:val="0"/>
      <w:adjustRightInd w:val="0"/>
      <w:jc w:val="both"/>
    </w:pPr>
    <w:rPr>
      <w:color w:val="00000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317F6"/>
    <w:rPr>
      <w:rFonts w:cs="Times New Roman"/>
      <w:sz w:val="16"/>
    </w:rPr>
  </w:style>
  <w:style w:type="paragraph" w:styleId="21">
    <w:name w:val="Body Text Indent 2"/>
    <w:basedOn w:val="a"/>
    <w:link w:val="22"/>
    <w:uiPriority w:val="99"/>
    <w:semiHidden/>
    <w:rsid w:val="000D4219"/>
    <w:pPr>
      <w:autoSpaceDE w:val="0"/>
      <w:autoSpaceDN w:val="0"/>
      <w:adjustRightInd w:val="0"/>
      <w:ind w:firstLine="540"/>
      <w:jc w:val="both"/>
    </w:pPr>
    <w:rPr>
      <w:rFonts w:ascii="Arial" w:hAnsi="Arial" w:cs="Arial"/>
      <w:b/>
      <w:bCs/>
      <w:i/>
      <w:i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17F6"/>
    <w:rPr>
      <w:rFonts w:cs="Times New Roman"/>
      <w:sz w:val="24"/>
    </w:rPr>
  </w:style>
  <w:style w:type="paragraph" w:styleId="a9">
    <w:name w:val="footer"/>
    <w:basedOn w:val="a"/>
    <w:link w:val="aa"/>
    <w:uiPriority w:val="99"/>
    <w:semiHidden/>
    <w:rsid w:val="000D42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317F6"/>
    <w:rPr>
      <w:rFonts w:cs="Times New Roman"/>
      <w:sz w:val="24"/>
    </w:rPr>
  </w:style>
  <w:style w:type="character" w:styleId="ab">
    <w:name w:val="page number"/>
    <w:basedOn w:val="a0"/>
    <w:uiPriority w:val="99"/>
    <w:semiHidden/>
    <w:rsid w:val="000D4219"/>
    <w:rPr>
      <w:rFonts w:cs="Times New Roman"/>
    </w:rPr>
  </w:style>
  <w:style w:type="character" w:customStyle="1" w:styleId="FontStyle42">
    <w:name w:val="Font Style42"/>
    <w:uiPriority w:val="99"/>
    <w:rsid w:val="00E85737"/>
    <w:rPr>
      <w:rFonts w:ascii="Calibri" w:hAnsi="Calibri"/>
      <w:b/>
      <w:sz w:val="16"/>
    </w:rPr>
  </w:style>
  <w:style w:type="paragraph" w:customStyle="1" w:styleId="Style33">
    <w:name w:val="Style33"/>
    <w:basedOn w:val="a"/>
    <w:uiPriority w:val="99"/>
    <w:rsid w:val="00843693"/>
    <w:pPr>
      <w:widowControl w:val="0"/>
      <w:autoSpaceDE w:val="0"/>
      <w:autoSpaceDN w:val="0"/>
      <w:adjustRightInd w:val="0"/>
      <w:spacing w:line="240" w:lineRule="exact"/>
      <w:ind w:firstLine="682"/>
      <w:jc w:val="both"/>
    </w:pPr>
  </w:style>
  <w:style w:type="character" w:customStyle="1" w:styleId="FontStyle41">
    <w:name w:val="Font Style41"/>
    <w:uiPriority w:val="99"/>
    <w:rsid w:val="00843693"/>
    <w:rPr>
      <w:rFonts w:ascii="Calibri" w:hAnsi="Calibri"/>
      <w:sz w:val="16"/>
    </w:rPr>
  </w:style>
  <w:style w:type="paragraph" w:customStyle="1" w:styleId="Style28">
    <w:name w:val="Style28"/>
    <w:basedOn w:val="a"/>
    <w:uiPriority w:val="99"/>
    <w:rsid w:val="00843693"/>
    <w:pPr>
      <w:widowControl w:val="0"/>
      <w:autoSpaceDE w:val="0"/>
      <w:autoSpaceDN w:val="0"/>
      <w:adjustRightInd w:val="0"/>
      <w:spacing w:line="235" w:lineRule="exact"/>
      <w:ind w:firstLine="682"/>
      <w:jc w:val="both"/>
    </w:pPr>
  </w:style>
  <w:style w:type="paragraph" w:customStyle="1" w:styleId="ConsPlusCell">
    <w:name w:val="ConsPlusCell"/>
    <w:uiPriority w:val="99"/>
    <w:rsid w:val="00C8268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8268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note text"/>
    <w:basedOn w:val="a"/>
    <w:link w:val="ad"/>
    <w:uiPriority w:val="99"/>
    <w:semiHidden/>
    <w:rsid w:val="00995CE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BA4058"/>
    <w:rPr>
      <w:rFonts w:cs="Times New Roman"/>
    </w:rPr>
  </w:style>
  <w:style w:type="character" w:styleId="ae">
    <w:name w:val="footnote reference"/>
    <w:basedOn w:val="a0"/>
    <w:uiPriority w:val="99"/>
    <w:semiHidden/>
    <w:rsid w:val="00995CE7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D15B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B95795"/>
  </w:style>
  <w:style w:type="character" w:customStyle="1" w:styleId="23">
    <w:name w:val="Основной текст (2)_"/>
    <w:link w:val="24"/>
    <w:locked/>
    <w:rsid w:val="000870A1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870A1"/>
    <w:pPr>
      <w:widowControl w:val="0"/>
      <w:shd w:val="clear" w:color="auto" w:fill="FFFFFF"/>
      <w:spacing w:line="317" w:lineRule="exact"/>
    </w:pPr>
    <w:rPr>
      <w:sz w:val="28"/>
      <w:szCs w:val="20"/>
    </w:rPr>
  </w:style>
  <w:style w:type="character" w:customStyle="1" w:styleId="11">
    <w:name w:val="Основной текст (11)_"/>
    <w:link w:val="110"/>
    <w:locked/>
    <w:rsid w:val="00525751"/>
    <w:rPr>
      <w:sz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525751"/>
    <w:pPr>
      <w:widowControl w:val="0"/>
      <w:shd w:val="clear" w:color="auto" w:fill="FFFFFF"/>
      <w:spacing w:before="300" w:line="240" w:lineRule="atLeast"/>
      <w:ind w:firstLine="760"/>
      <w:jc w:val="both"/>
    </w:pPr>
    <w:rPr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EE61DC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EE61DC"/>
    <w:rPr>
      <w:rFonts w:cs="Times New Roman"/>
      <w:color w:val="0000FF"/>
      <w:u w:val="single"/>
    </w:rPr>
  </w:style>
  <w:style w:type="paragraph" w:styleId="af1">
    <w:name w:val="List Paragraph"/>
    <w:basedOn w:val="a"/>
    <w:uiPriority w:val="1"/>
    <w:qFormat/>
    <w:rsid w:val="006D43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5">
    <w:name w:val="Заголовок №2_"/>
    <w:link w:val="26"/>
    <w:locked/>
    <w:rsid w:val="00DF2E5E"/>
    <w:rPr>
      <w:b/>
      <w:sz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DF2E5E"/>
    <w:pPr>
      <w:widowControl w:val="0"/>
      <w:shd w:val="clear" w:color="auto" w:fill="FFFFFF"/>
      <w:spacing w:before="600" w:after="240" w:line="317" w:lineRule="exact"/>
      <w:ind w:hanging="1680"/>
      <w:outlineLvl w:val="1"/>
    </w:pPr>
    <w:rPr>
      <w:b/>
      <w:sz w:val="28"/>
      <w:szCs w:val="20"/>
    </w:rPr>
  </w:style>
  <w:style w:type="table" w:customStyle="1" w:styleId="TableNormal">
    <w:name w:val="Table Normal"/>
    <w:uiPriority w:val="2"/>
    <w:semiHidden/>
    <w:unhideWhenUsed/>
    <w:qFormat/>
    <w:rsid w:val="00FA6DCE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6DCE"/>
    <w:pPr>
      <w:widowControl w:val="0"/>
      <w:spacing w:line="268" w:lineRule="exact"/>
      <w:ind w:left="105"/>
    </w:pPr>
    <w:rPr>
      <w:sz w:val="22"/>
      <w:szCs w:val="22"/>
      <w:lang w:val="en-US" w:eastAsia="en-US"/>
    </w:rPr>
  </w:style>
  <w:style w:type="paragraph" w:styleId="af2">
    <w:name w:val="header"/>
    <w:basedOn w:val="a"/>
    <w:link w:val="af3"/>
    <w:uiPriority w:val="99"/>
    <w:unhideWhenUsed/>
    <w:rsid w:val="00EC476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EC4764"/>
    <w:rPr>
      <w:rFonts w:cs="Times New Roman"/>
      <w:sz w:val="24"/>
    </w:rPr>
  </w:style>
  <w:style w:type="paragraph" w:styleId="af4">
    <w:name w:val="Balloon Text"/>
    <w:basedOn w:val="a"/>
    <w:link w:val="af5"/>
    <w:uiPriority w:val="99"/>
    <w:semiHidden/>
    <w:unhideWhenUsed/>
    <w:rsid w:val="0043151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431515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uiPriority w:val="99"/>
    <w:semiHidden/>
    <w:unhideWhenUsed/>
    <w:rsid w:val="00080E60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80E6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080E60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80E6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080E60"/>
    <w:rPr>
      <w:rFonts w:cs="Times New Roman"/>
      <w:b/>
      <w:bCs/>
    </w:rPr>
  </w:style>
  <w:style w:type="paragraph" w:styleId="afb">
    <w:name w:val="Revision"/>
    <w:hidden/>
    <w:uiPriority w:val="99"/>
    <w:semiHidden/>
    <w:rsid w:val="00AE48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0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5743A-316F-4611-BF9E-A7FA7057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Росфинмониторинг</Company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пользователь</dc:creator>
  <cp:lastModifiedBy>Главный cпециалист</cp:lastModifiedBy>
  <cp:revision>6</cp:revision>
  <cp:lastPrinted>2016-07-26T08:06:00Z</cp:lastPrinted>
  <dcterms:created xsi:type="dcterms:W3CDTF">2016-08-03T07:53:00Z</dcterms:created>
  <dcterms:modified xsi:type="dcterms:W3CDTF">2016-08-03T08:36:00Z</dcterms:modified>
</cp:coreProperties>
</file>